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Pacientu tiesību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Pacientu tiesību likumā (Latvijas Vēstnesis, 2009, 209. nr.; 2011, 202. nr.; 2012, 190. nr.; 2013, 191., 211. nr.; 2017, 259. nr.; 2018, 225. nr.; 2020, 244. nr.; 2022, 63., 120. nr.; 2023, 75.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1 </w:t>
      </w:r>
      <w:r w:rsidR="00000000" w:rsidRPr="00000000" w:rsidDel="00000000">
        <w:rPr>
          <w:rtl w:val="0"/>
        </w:rPr>
        <w:t xml:space="preserve">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17.</w:t>
      </w:r>
      <w:r w:rsidR="00000000" w:rsidRPr="00000000" w:rsidDel="00000000">
        <w:rPr>
          <w:b w:val="1"/>
          <w:vertAlign w:val="superscript"/>
          <w:rtl w:val="0"/>
        </w:rPr>
        <w:t xml:space="preserve">1</w:t>
      </w:r>
      <w:r w:rsidR="00000000" w:rsidRPr="00000000" w:rsidDel="00000000">
        <w:rPr>
          <w:b w:val="1"/>
          <w:rtl w:val="0"/>
        </w:rPr>
        <w:t xml:space="preserve"> pants. Kaitējuma kompensācija par smagu vai vidēji smagu kaitējumu pacienta veselībai vai dzīvībai, kas radies apstiprināto vakcīnas pret Covid-19 infekciju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prasības un kārtību, kādā pieprasa, piešķir un izmaksā kompensāciju vai atsaka tās piešķiršanu, kā arī nosaka izmaksājamās kompensācijas apmēru atbilstoši kaitējuma smagumam, nepārsniedzot 142 290 </w:t>
      </w:r>
      <w:r w:rsidR="00000000" w:rsidRPr="00000000" w:rsidDel="00000000">
        <w:rPr>
          <w:i w:val="1"/>
          <w:rtl w:val="0"/>
        </w:rPr>
        <w:t xml:space="preserve">euro</w:t>
      </w:r>
      <w:r w:rsidR="00000000" w:rsidRPr="00000000" w:rsidDel="00000000">
        <w:rPr>
          <w:rtl w:val="0"/>
        </w:rPr>
        <w:t xml:space="preserve">, ja radies smags vai vidēji smags kaitējums pacienta veselībai vai dzīvībai apstiprināto vakcīnas pret Covid-19 infekciju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 kompensācijas prasījumu par smagu vai vidēji smagu kaitējumu viņa veselībai vai dzīvībai, kas radies apstiprināto vakcīnas pret Covid-19 infekciju blakusparādību dēļ, izskata un lēmumu pieņem sešu mēnešu laikā pēc kompensācijas prasījuma saņemšanas. Ja nepieciešams pieprasīt, savākt un izvērtēt papildu informāciju, kompensācijas prasījuma izskatīšanas un lēmuma pieņemšanas termiņš var tikt pagarināts uz laiku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Pacients kompensāciju par smagu vai vidēji smagu kaitējumu viņa veselībai vai dzīvībai, kas radies apstiprināto vakcīnas pret Covid-19 infekciju blakusparādību dēļ, pieprasa ne vēlāk kā divu gadu laikā no kaitējuma atklāšanas dienas, taču ne vēlāk kā triju gadu laikā no vakcinācijas dienas. Šajā pantā minēto kompensāciju neizmaksā, ja pacients kompensāciju par viņa dzīvībai vai veselībai nodarīto kaitējumu jau ir saņēmis civilprocesa ietvaros."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7.  un 8.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Šā likuma 17.</w:t>
      </w:r>
      <w:r w:rsidR="00000000" w:rsidRPr="00000000" w:rsidDel="00000000">
        <w:rPr>
          <w:vertAlign w:val="superscript"/>
          <w:rtl w:val="0"/>
        </w:rPr>
        <w:t xml:space="preserve">1</w:t>
      </w:r>
      <w:r w:rsidR="00000000" w:rsidRPr="00000000" w:rsidDel="00000000">
        <w:rPr>
          <w:rtl w:val="0"/>
        </w:rPr>
        <w:t xml:space="preserve"> pants stājas spēkā 2024. gada 1. janvārī.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Ministru kabinets līdz 2023. gada 31. decembrim izdod šā likuma 17.</w:t>
      </w:r>
      <w:r w:rsidR="00000000" w:rsidRPr="00000000" w:rsidDel="00000000">
        <w:rPr>
          <w:vertAlign w:val="superscript"/>
          <w:rtl w:val="0"/>
        </w:rPr>
        <w:t xml:space="preserve">1</w:t>
      </w:r>
      <w:r w:rsidR="00000000" w:rsidRPr="00000000" w:rsidDel="00000000">
        <w:rPr>
          <w:rtl w:val="0"/>
        </w:rPr>
        <w:t xml:space="preserve"> panta pirmajā daļā paredzētos noteikumus. Līdz attiecīgo Ministru kabineta noteikumu spēkā stāšanās dienai, bet ne ilgāk kā līdz 2023. gada 31. decembrim ir spēkā Ministru kabineta 2022. gada 3. maija noteikumi Nr. 272 "Noteikumi par kompensāciju par vakcīnas pret Covid-19 infekciju blakusparādību izraisīto smagu vai vidēji smagu kaitējumu pacienta veselībai vai dzīvībai", ciktāl tie nav pretrunā ar šo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23-TA-1376</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23-TA-1376</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likumprojekts_(grozījumi)_23-TA-1376.docx</dc:title>
</cp:coreProperties>
</file>

<file path=docProps/custom.xml><?xml version="1.0" encoding="utf-8"?>
<Properties xmlns="http://schemas.openxmlformats.org/officeDocument/2006/custom-properties" xmlns:vt="http://schemas.openxmlformats.org/officeDocument/2006/docPropsVTypes"/>
</file>