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slodze un zemākā mēneša darba algas likme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3101"/>
        <w:gridCol w:w="3101"/>
        <w:gridCol w:w="1281"/>
        <w:gridCol w:w="1281"/>
        <w:tblGridChange w:id="0">
          <w:tblGrid>
            <w:gridCol w:w="514"/>
            <w:gridCol w:w="4443"/>
            <w:gridCol w:w="3101"/>
            <w:gridCol w:w="3101"/>
            <w:gridCol w:w="128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nedēļā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gadā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astronomiskajās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stundu/nodarbību vadīšanai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skolotājs, 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mūzikā, mākslā un dejā pedagogs, koncertmeistars (izņemot Kultūras ministrijas padotības profesionālās izglītības 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sporta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baleta mākslinieks profesionālās vidējās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 sociālais pedagogs, skolotājs logopēds, speciālais pedagogs, pedagoga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70 %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metodiķis, pirmsskolas izglītības metodiķis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organizators izglītības iestādē, surdopedagogs speciālās izglītības iestādes dzirdes kabinetā, tiflopedagogs speciālās izglītības iestādes redzes kabinetā, arodmācības (amatmācības) skolotājs, internāta skolotājs vispārējās un speciālās izglītības iestādē, skolotājs izglītības iestādes dienesta viesnīcā, izglītības iestādes bibliotekārs, skolotājs mentors, izglītības iestādes muzeju pedagogs, pedagogs karjeras konsultants, pagarinātās dienas grupas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izglītības iestādes vadītāja vietnieks, struktūrvienības vadītājs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3.tabulu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un koncertmeistars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saskaņā ar 1.pielikuma 1.tabulu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 asociētais profesors, docents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1.tabulu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2.tabulu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2.tabulu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vadītājs un pedagogs var vienoties par citu darba slodzes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vadītājam un pedagogam vienojoties, darba slodzi nedēļā mācību stundu/nodarbību vadīšanai var palielināt, bet ne vairāk kā par divām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amata aprakstam.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iekļauti visi darba pienākumi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noteikumu_konsolidētā_versija_p3_23-TA-1059.docx</dc:title>
</cp:coreProperties>
</file>

<file path=docProps/custom.xml><?xml version="1.0" encoding="utf-8"?>
<Properties xmlns="http://schemas.openxmlformats.org/officeDocument/2006/custom-properties" xmlns:vt="http://schemas.openxmlformats.org/officeDocument/2006/docPropsVTypes"/>
</file>