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24.07.2017. noteikumiem Nr. 436; MK 14.08.2018. noteikumiem Nr. 525; MK 18.06.2019. noteikumiem Nr. 270)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un speciālajās klasēs un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01015521, 21015511, 21015521, 31015511, 31015521), ar garīgās veselības traucējumiem (izglītības programmu kodi 01015711, 01015711, 21015711, 21015711), ar fiziskās attīstības traucējumiem (izglītības programmu kodi 01015311, 01015321, 21015311, 21015321, 31015311, 31015321), ar redzes (izglītības programmu kodi 01015111, 01015121, 21015111, 21015121, 31015111, 31015121) vai dzirdes traucējumiem (izglītības programmu kodi 01015211, 01015221,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01015821, 21015811, 21015821), ar vairākiem attīstības traucējumiem (izglītības programmu kodi 01015911, 01015921,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pamatizglītības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izglītības iestāžu vadītājiem un speciālo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vispārējās un profesionālās izglītības iestāžu skolotājiem,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noteikumu_konsolidētā_versija_p4_23-TA-1059.docx</dc:title>
</cp:coreProperties>
</file>

<file path=docProps/custom.xml><?xml version="1.0" encoding="utf-8"?>
<Properties xmlns="http://schemas.openxmlformats.org/officeDocument/2006/custom-properties" xmlns:vt="http://schemas.openxmlformats.org/officeDocument/2006/docPropsVTypes"/>
</file>