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[22-TA-2298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[22-TA-2298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Primārās veselības aprūpes finansējuma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2,547896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uz kārtējā gada 30. septembri par personu skaitu vecuma grupās un apmeklējumu skaitu pie ģimenes ārsta katrā vecuma grupā,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Ikmēneša fiksētais maksājums ģimenes ārsta praksei, tai skaitā riska maksājums, ir 480,73 </w:t>
      </w:r>
      <w:r w:rsidR="00000000" w:rsidRPr="00000000" w:rsidDel="00000000">
        <w:rPr>
          <w:i w:val="1"/>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par ģimenes ārsta prakses otro un katru nākamo pieņemšanas vietu ir 142,88 </w:t>
      </w:r>
      <w:r w:rsidR="00000000" w:rsidRPr="00000000" w:rsidDel="00000000">
        <w:rPr>
          <w:i w:val="1"/>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tajā pašā teritoriālajā vienībā, ja tās nepieciešamību pēc saskaņošanas ar pašvaldību (prakse ir akceptēta ar pašvaldību saskaņotā primārās veselības aprūpes plānā) ir noteicis dienests un tā atbilst šā pielikuma 8.3., 8.4. un 8.5.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Maksājums par primārās veselības aprūpes pakalpojumu nodrošināšanu, tai skaitā riska maksājums, šo noteikumu 19. punktā minētajā gadījumā ir 142,88 euro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dienests par katru reģistrēto pacientu papildus aprēķina šā pielikuma 9.2., 9.3. un 9.4. apakšpunktā noteikto reģistrēto pacientu piemaksu, ja ģimenes ārsta prakse saņem māsas un ārsta palīga (feldšera) darbības nodrošināšanas maksājumu divkāršā apmērā atbilstoši šā pielikuma 20.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ārsta praksei maksā ikmēneša fiksētās piemaksas par hronisko slimnieku aprūpi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ārsta prakse saņem šā pielikuma 13.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Svītrots.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ārsts saņem maksājumu 75,00 </w:t>
      </w:r>
      <w:r w:rsidR="00000000" w:rsidRPr="00000000" w:rsidDel="00000000">
        <w:rPr>
          <w:i w:val="1"/>
          <w:rtl w:val="0"/>
        </w:rPr>
        <w:t xml:space="preserve">euro</w:t>
      </w:r>
      <w:r w:rsidR="00000000" w:rsidRPr="00000000" w:rsidDel="00000000">
        <w:rPr>
          <w:rtl w:val="0"/>
        </w:rPr>
        <w:t xml:space="preserve"> apmērā par ģimenes ārsta pacientu reģistrā reģistrētajai personai laikus atklātu vēzi 1. vai 2. stadijā, ja šāda vēža stadija ir diagnozes noteikšanas datumā. Minēto maksājumu ģimenes ārsta praksei dienests izmaksā reizi gadā līdz 1. jūnijam,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Šo noteikumu 16.</w:t>
      </w:r>
      <w:r w:rsidR="00000000" w:rsidRPr="00000000" w:rsidDel="00000000">
        <w:rPr>
          <w:vertAlign w:val="superscript"/>
          <w:rtl w:val="0"/>
        </w:rPr>
        <w:t xml:space="preserve">1</w:t>
      </w:r>
      <w:r w:rsidR="00000000" w:rsidRPr="00000000" w:rsidDel="00000000">
        <w:rPr>
          <w:rtl w:val="0"/>
        </w:rPr>
        <w:t xml:space="preserve">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Šo noteikumu 16.</w:t>
      </w:r>
      <w:r w:rsidR="00000000" w:rsidRPr="00000000" w:rsidDel="00000000">
        <w:rPr>
          <w:vertAlign w:val="superscript"/>
          <w:rtl w:val="0"/>
        </w:rPr>
        <w:t xml:space="preserve">3</w:t>
      </w:r>
      <w:r w:rsidR="00000000" w:rsidRPr="00000000" w:rsidDel="00000000">
        <w:rPr>
          <w:rtl w:val="0"/>
        </w:rPr>
        <w:t xml:space="preserve">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153.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ja, aprēķinot māsas un ārsta palīga darbības nodrošināšanas maksājumu atbilstoši šā pielikuma 17.1. un 17.2.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ģimenes ārsta praksē reģistrēto pacientu skaitu (N) dala ar šā pielikuma 17.1.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17.2.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Ģimenes ārsta un viņa praksē nodarbināto ārstniecības personu darba laiks nedrīkst pilnīgi vai kādā daļā sakrist ar tā paša ģimenes ārsta vai viņa praksē nodarbinātā darba laiku citā iestādē.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maksājumu par ģimenes ārsta prakses telpu uzturēšanu atbilstoši šā pielikuma 7.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Dežūrārstu skaitu un tam nepieciešamo finansējumu šo noteikumu 42. punktā noteiktajiem gadījumiem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citus veselības aprūpes pakalpojumus, dienests finanšu līdzekļus ārstniecības iestādēm plāno atbilstoši iedzīvotāju skaitam attiecīgajā teritorijā,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 medikamentu ievadīšanai, ādas bojājumu aprūpei, urīna ilgkatetra maiņai un aprūpei, mākslīgās atveres (stomas) aprūpei, tai skaitā tuvinieku izglītošanai un apmācībai, kā arī enterālai barošanai caur zondi finanšu līdzekļus plāno pilsētām un novadu pagastiem – 3,56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 rehabilitācijas pakalpojumiem finanšu līdzekļus plāno novadiem – 0,61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Dienests līgumā ar ārstniecības iestādi, kas sniedz veselības aprūpi mājās, norāda šā pielikuma 32.2.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Finanšu līdzekļus, kas iegūti, šā pielikuma 33.</w:t>
      </w:r>
      <w:r w:rsidR="00000000" w:rsidRPr="00000000" w:rsidDel="00000000">
        <w:rPr>
          <w:vertAlign w:val="superscript"/>
          <w:rtl w:val="0"/>
        </w:rPr>
        <w:t xml:space="preserve">1</w:t>
      </w:r>
      <w:r w:rsidR="00000000" w:rsidRPr="00000000" w:rsidDel="00000000">
        <w:rPr>
          <w:rtl w:val="0"/>
        </w:rPr>
        <w:t xml:space="preserve">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noteikumu_(grozījumu)_projekts_p5_22-TA-2298.docx</dc:title>
</cp:coreProperties>
</file>

<file path=docProps/custom.xml><?xml version="1.0" encoding="utf-8"?>
<Properties xmlns="http://schemas.openxmlformats.org/officeDocument/2006/custom-properties" xmlns:vt="http://schemas.openxmlformats.org/officeDocument/2006/docPropsVTypes"/>
</file>