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martā (prot. Nr. 13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Laimu Letiņu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Valsts civildienesta likuma 11. panta trešo daļu, lai nodrošinātu labu pārvaldību valsts interesēs, kā arī ņemot vērā Uzņēmumu reģistra galvenā valsts notāra amata pretendentu vērtēšanas komisijas lēmumu, apstiprināt Laimas Letiņas kandidatūru iecelšanai Uzņēmumu reģistra galvenā valsts notāra amatā.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24-TA-615</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24-TA-615</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rīkojuma_projekts_24-TA-615.docx</dc:title>
</cp:coreProperties>
</file>

<file path=docProps/custom.xml><?xml version="1.0" encoding="utf-8"?>
<Properties xmlns="http://schemas.openxmlformats.org/officeDocument/2006/custom-properties" xmlns:vt="http://schemas.openxmlformats.org/officeDocument/2006/docPropsVTypes"/>
</file>