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Eiropas Savienības fondu vadībā iesaistītās institūcijas nodrošina šo fondu ieviešanu 2021.–2027. gada plānošanas periodā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w:t>
      </w:r>
      <w:r w:rsidR="00000000" w:rsidRPr="00000000" w:rsidDel="00000000">
        <w:rPr>
          <w:rStyle w:val="paragraph"/>
          <w:i w:val="1"/>
          <w:rtl w:val="0"/>
        </w:rPr>
        <w:t xml:space="preserve"> </w:t>
      </w:r>
      <w:r w:rsidR="00000000" w:rsidRPr="00000000" w:rsidDel="00000000">
        <w:rPr>
          <w:rStyle w:val="paragraph"/>
          <w:i w:val="1"/>
          <w:rtl w:val="0"/>
        </w:rPr>
        <w:t xml:space="preserve">7. pantu</w:t>
      </w:r>
      <w:r w:rsidR="00000000" w:rsidRPr="00000000" w:rsidDel="00000000">
        <w:rPr>
          <w:rStyle w:val="paragraph"/>
          <w:i w:val="1"/>
          <w:rtl w:val="0"/>
        </w:rPr>
        <w:t xml:space="preserve"> un </w:t>
      </w:r>
      <w:r w:rsidR="00000000" w:rsidRPr="00000000" w:rsidDel="00000000">
        <w:rPr>
          <w:rStyle w:val="paragraph"/>
          <w:i w:val="1"/>
          <w:rtl w:val="0"/>
        </w:rPr>
        <w:t xml:space="preserve">19. panta</w:t>
      </w:r>
      <w:r w:rsidR="00000000" w:rsidRPr="00000000" w:rsidDel="00000000">
        <w:rPr>
          <w:rStyle w:val="paragraph"/>
          <w:i w:val="1"/>
          <w:rtl w:val="0"/>
        </w:rPr>
        <w:t xml:space="preserve"> 2. un 10.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Eiropas Reģionālās attīstības fonda, Eiropas Sociālā fonda Plus, Kohēzijas fonda un Taisnīgas pārkārtošanās fonda (turpmāk – Eiropas Savienības fondi) vadībā iesaistītās institūcijas nodrošina šo fondu ieviešanu,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institūcijas, kas atbildīgas par Eiropas Parlamenta un Padomes 2021. gada 24. jūnija Regulas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2021/1060), 9. pantā minēto horizontālo principu un principu "Energoefektivitāte pirmajā vietā" un "Klimatdrošināšana" (turpmāk – horizontālie principi) koordināciju, kā arī minēto institūciju tiesības un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iesniegumu atlases nolikuma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iesniegumu vērtēšanas kritēriju un to piemērošanas metodikas izstrādes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izvērtē projekta iesniedzēja atbilstību </w:t>
      </w:r>
      <w:r w:rsidR="00000000" w:rsidRPr="00000000" w:rsidDel="00000000">
        <w:rPr>
          <w:rtl w:val="0"/>
        </w:rPr>
        <w:t xml:space="preserve">Eiropas Savienības fondu 2021.–2027. gada plānošanas perioda vadības likuma</w:t>
      </w:r>
      <w:r w:rsidR="00000000" w:rsidRPr="00000000" w:rsidDel="00000000">
        <w:rPr>
          <w:rtl w:val="0"/>
        </w:rPr>
        <w:t xml:space="preserve"> (turpmāk – likums) </w:t>
      </w:r>
      <w:r w:rsidR="00000000" w:rsidRPr="00000000" w:rsidDel="00000000">
        <w:rPr>
          <w:rtl w:val="0"/>
        </w:rPr>
        <w:t xml:space="preserve">22. pantā</w:t>
      </w:r>
      <w:r w:rsidR="00000000" w:rsidRPr="00000000" w:rsidDel="00000000">
        <w:rPr>
          <w:rtl w:val="0"/>
        </w:rPr>
        <w:t xml:space="preserve"> minētajiem izslēgšanas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civiltiesiskā līguma vai vienošanās par projekta īstenošanu (turpmāk – līgums vai vienošanās)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līguma vai vienošanās noslēgšanas un grozījumu (tai skaitā arī sadarbības iestādes vienpusēja paziņojuma un vienpusēja uzteikuma) izdarīšanas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sadarbības partnera piesaistes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Eiropas Savienības fondu vadībā iesaistītās institūcijas un Eiropas Savienības fondu finansējuma saņēmējs (turpmāk – finansējuma saņēmējs) publisko informāciju par projektiem (turpmāk – projekti) un nodrošina Eiropas Savienības fondu publicitātes, saziņas un vizuālās identitātes prasību ievērošanu;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izmaksu efektivitātes novērtēšanas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ietvertie nosacījumi neattiecas uz finanšu instrumentiem, tai skaitā kombinētajiem atbalsta veidiem saskaņā ar regulas  </w:t>
      </w:r>
      <w:r w:rsidR="00000000" w:rsidRPr="00000000" w:rsidDel="00000000">
        <w:rPr>
          <w:rtl w:val="0"/>
        </w:rPr>
        <w:t xml:space="preserve">2021/1060</w:t>
      </w:r>
      <w:r w:rsidR="00000000" w:rsidRPr="00000000" w:rsidDel="00000000">
        <w:rPr>
          <w:rtl w:val="0"/>
        </w:rPr>
        <w:t xml:space="preserve"> 58. panta 4. un 5. punktu. Šajos noteikumos ietvertie nosacījumi attiecas uz finanšu instrumentu ieguldījumu fondiem tiktāl, ciktāl tie nav pretrunā normatīvajiem aktiem par attiecīgā specifiskā atbalsta mērķa īstenošanas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saglabājot atbildību par projekta īstenošanu, mērķu sasniegšanu, izdevumu attiecināmību, kā arī maksājumu veikšanu un iepirkuma procedūras veikšanu, var projekta īstenošanā piesaistīt sadarbības partneri, kurš atbilst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prasībām, kas noteiktas normatīvajā aktā par specifiskā atbalsta mērķa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iesaistās projekta īstenošanā ar tā valdījumā vai īpašumā esošo mantu, intelektuālo īpašumu, finansējumu vai cilvēkresursiem;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saņēmējam ar sadarbības partneri nevar rasties tādas tiesiskās attiecības, no kurām izrietētu, ka šis darījums atbilst publiska iepirkuma līguma pazīmēm atbilstoši </w:t>
      </w:r>
      <w:r w:rsidR="00000000" w:rsidRPr="00000000" w:rsidDel="00000000">
        <w:rPr>
          <w:rtl w:val="0"/>
        </w:rPr>
        <w:t xml:space="preserve">Publisko iepirkumu likumam</w:t>
      </w:r>
      <w:r w:rsidR="00000000" w:rsidRPr="00000000" w:rsidDel="00000000">
        <w:rPr>
          <w:rtl w:val="0"/>
        </w:rPr>
        <w:t xml:space="preserve"> vai </w:t>
      </w:r>
      <w:r w:rsidR="00000000" w:rsidRPr="00000000" w:rsidDel="00000000">
        <w:rPr>
          <w:rtl w:val="0"/>
        </w:rPr>
        <w:t xml:space="preserve">Sabiedrisko pakalpojumu sniedzēju iepirkumu likumam</w:t>
      </w:r>
      <w:r w:rsidR="00000000" w:rsidRPr="00000000" w:rsidDel="00000000">
        <w:rPr>
          <w:rtl w:val="0"/>
        </w:rPr>
        <w:t xml:space="preserve"> vai ka darījumam jāpiemēro normatīvie akti par iepirkuma procedūru un tās piemērošanas kārtību pasūtītāja finansētiem projektiem.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partneris nav tiesīgs ar projekta īstenošanu saistītās tiesības un pienākumus nodot citai personai.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saņēmējs, īstenojot projektu sadarbībā ar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minēto sadarbības partneri: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slēdz sadarbības līgumu ar sadarbības partneri, ja normatīvajā aktā par specifiskā atbalsta mērķa īstenošanu nav noteikts citādi, un nodrošina, ka sadarbības partneris ievēro projekta īstenošanā izvirzītās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nedeleģē sadarbības partnerim atbildību par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18. panta</w:t>
      </w:r>
      <w:r w:rsidR="00000000" w:rsidRPr="00000000" w:rsidDel="00000000">
        <w:rPr>
          <w:rtl w:val="0"/>
        </w:rPr>
        <w:t xml:space="preserve"> pirmajā daļā noteiktajiem finansējuma saņēmēja pienākumiem, kā arī maksājumu pieprasījumu iesniegšanu sadarbības iestādē.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Finansējuma saņēmējs sadarbības līgumā iekļauj vismaz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partnera pienākumi un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partnera finansējuma plānošana,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projekta īstenošanu saistīto dokumentu glabāšanas termiņš;</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piešķirto finanšu līdzekļu izmaksas apturēšanas, izmaksas turpināšanas un atgūšanas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strīdu izšķiršanas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 par īpašumu vai pamatlīdzekļu juridisko piederību un projekta īstenošanas rezultātā radīto vai iegādāto vērtību piederību, kā arī to uzturēšanas un izmantošanas kārtību,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sadarbības partnera un finansējuma saņēmēja rekvizīti;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rīcība nepārvaramas varas gadījumā.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Horizontālie principi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horizontālo principu koordināciju (turpmāk – ieviešanas uzraudzība) Eiropas Savienības kohēzijas politikas programmas 2021.–2027. gadam (turpmāk – programma) ieguldījumu ietvaros ir atbildīgas šādas institūcijas: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Labklājības ministrija sadarbībā ar Tieslietu ministriju – par horizontālā principa "Vienlīdzība, iekļaušana, nediskriminācija un pamattiesību ievērošana" (regulas  </w:t>
      </w:r>
      <w:r w:rsidR="00000000" w:rsidRPr="00000000" w:rsidDel="00000000">
        <w:rPr>
          <w:rtl w:val="0"/>
        </w:rPr>
        <w:t xml:space="preserve">2021/1060</w:t>
      </w:r>
      <w:r w:rsidR="00000000" w:rsidRPr="00000000" w:rsidDel="00000000">
        <w:rPr>
          <w:rtl w:val="0"/>
        </w:rPr>
        <w:t xml:space="preserve"> 9. panta 1., 2. un 3. daļa) ieviešanas uzraudzību, aptverot tādas jomas kā pamattiesību ievērošana, dzimumu līdztiesība starp vīriešiem un sievietēm, diskriminācijas novēršana dzimuma, rases vai etniskās izcelsmes, reliģijas vai pārliecības, invaliditātes, vecuma vai dzimumorientācijas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Klimata un enerģētikas ministrija – par horizontālā principa "Klimatdrošināšana" ieviešanas uzraudzību;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Ekonomikas ministrija – par horizontālā principa "Energoefektivitāte pirmajā vietā" ieviešanas uzraudzību;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visas atbildīgās iestādes – par horizontālā principa "Nenodarīt būtisku kaitējumu" (regulas  </w:t>
      </w:r>
      <w:r w:rsidR="00000000" w:rsidRPr="00000000" w:rsidDel="00000000">
        <w:rPr>
          <w:rtl w:val="0"/>
        </w:rPr>
        <w:t xml:space="preserve">2021/1060</w:t>
      </w:r>
      <w:r w:rsidR="00000000" w:rsidRPr="00000000" w:rsidDel="00000000">
        <w:rPr>
          <w:rtl w:val="0"/>
        </w:rPr>
        <w:t xml:space="preserve"> 9. panta 4. daļa) ieviešanas uzraudzību atbilstoši attiecīgās iestādes  pārraudzībā esošajiem specifiskajiem atbalsta mērķiem.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Institūcijām, kas atbildīgas par 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minēto horizontālo principu ieviešanas uzraudzību, ir šādi pienākumi: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 metodisko materiālu par attiecīgo horizontālo principu ieviešanu, ieviešanas uzraudzību, nodrošināt konsultatīvu un metodisku atbalstu Eiropas Savienības fondu vadībā iesaistītajām institūcijām specifisko atbalsta mērķu ieviešanas nosacījumu definēšanā un pēc pieprasījuma atbilstoši kompetencei sniegt viedokli projektu iesniegumu vērtēšanas komisijai par attiecīgā horizontālā principa vērtēšanas jautājumiem un finansējuma saņēmējam saistībā ar attiecīgā horizontālā principa piemērošanas jautājumiem;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atzinumu par Eiropas Savienības fondu plānošanas dokumentu projektiem un tiesību aktu projektiem Eiropas Savienības fondu jomā, kā arī sniegt uzraudzības komitejai un apakškomitejai viedokli par projektu iesniegumu vērtēšanas kritēriju projektiem, kas saistīti ar horizontālajiem principiem;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 uzraudzības komiteju par Eiropas Savienības fondu ieguldījumu atbilstību attiecīgajiem horizontālajiem principiem programmas ieviešanā.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Iestādēm, kas atbildīgas par šo noteikumu </w:t>
      </w:r>
      <w:r w:rsidR="00000000" w:rsidRPr="00000000" w:rsidDel="00000000">
        <w:rPr>
          <w:rtl w:val="0"/>
        </w:rPr>
        <w:t xml:space="preserve">7.4.</w:t>
      </w:r>
      <w:r w:rsidR="00000000" w:rsidRPr="00000000" w:rsidDel="00000000">
        <w:rPr>
          <w:rtl w:val="0"/>
        </w:rPr>
        <w:t xml:space="preserve"> apakšpunktā</w:t>
      </w:r>
      <w:r w:rsidR="00000000" w:rsidRPr="00000000" w:rsidDel="00000000">
        <w:rPr>
          <w:rtl w:val="0"/>
        </w:rPr>
        <w:t xml:space="preserve"> minētā horizontālā principa ieviešanas uzraudzību, ir pienākums izstrādāt horizontālā principa "Nenodarīt būtisku kaitējumu" novērtējumu par katru pārraudzībā esošo specifisko atbalsta mērķi un, ja nepieciešams, nodrošināt novērtējumā ietverto nepieciešamo darbību ietveršanu normatīvajos aktos par specifisko atbalsta mērķu īstenošanu un specifiskajos atbilstības un kvalitātes projektu iesniegumu vērtēšanas kritērijos.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Institūcijām, kas atbildīgas par horizontālo principu ieviešanas uzraudzību, ir tiesības pieprasīt un saņemt no citām Eiropas Savienības fondu vadībā iesaistītajām institūcijām un nozaru ministrijām informāciju, kas nepieciešama horizontālo principu ieviešanai (ja minētā informācija nav pieejama Kohēzijas politikas fondu vadības informācijas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Institūcijas, kas atbildīgas par horizontālo principu ieviešanas uzraudzību, informē Eiropas Savienības fondu vadībā iesaistītās institūcijas par konstatētajiem būtiskajiem trūkumiem un vienlaikus sniedz argumentētus priekšlikumus atbilstīgai un efektīvai horizontālo principu ieviešanai.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Eiropas Savienības fondu vadībā vai īstenošanā iesaistītās institūcijas, konstatējot horizontālā principa "Vienlīdzība, iekļaušana, nediskriminācija un pamattiesību ievērošana" iespējamus pārkāpumus vai saņemot sūdzības par Eiropas Savienības fondu atbalstīto darbību neatbilstību Eiropas Savienības Pamattiesību hartai (vienlīdzība, nediskriminācija, iekļaušana, pamattiesības) un ANO Konvencijai par personu ar invaliditāti tiesībām, ziņo par to sadarbības iestādei un nosūta informāciju arī Tieslietu ministrijai un Labklājības ministrijai.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Labklājības ministrija sadarbībā ar Tieslietu ministriju reizi gadā informē Eiropas Savienības fondu uzraudzības komiteju par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minētajiem pārkāpumiem atbilstoši Eiropas Savienības fondu uzraudzības komitejas reglamentam.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Projektu iesniegumu atlase un līguma vai vienošanās slēgšana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Sadarbības iestāde izstrādā projektu iesniegumu atlases nolikumu un saskaņo to ar atbildīgo iestādi. Minētajā nolikumā iekļauj vismaz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specifiskā atbalsta mērķa numurs un nosaukums;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specifiskā atbalsta mērķa pasākums,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specifiskā atbalsta mērķa vai pasākuma projektu iesniegumu atlases kārta,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iesniegumu atlases īstenošanas veids atbilstoši normatīvajam aktam par specifiskā atbalsta mērķa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projektu iesniegumu atlasei pieejamais Eiropas Savienības fonda finansējums, maksimālā atbalsta intensitāte un nepieciešamais līdzfinansējums atbilstoši normatīvajam aktam par specifiskā atbalsta mērķa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norāde uz normatīvajā aktā par specifiskā atbalsta mērķa īstenošanu ietvertajām prasībām projekta iesniedzējam;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projektu 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iesniegšanas Kohēzijas politikas fondu vadības informācijas sistēmā (turpmāk – KPV informācijas sistēma) sākuma un beigu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projektu iesniegumu sagatavošanas un iesniegšanas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papildus iesniedzamo dokumentu saraksts;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uzraudzības komitejā apstiprinātie projektu iesniegumu vērtēšanas kritēriji un šo kritēriju piemērošanas metodika;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projektu iesniegumu vērtēšanas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lēmuma par projekta iesnieguma apstiprināšanu, apstiprināšanu ar nosacījumu vai noraidīšanu pieņemšanas un paziņošanas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norāde uz līguma vai vienošanās projektu;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kārtība, kādā sadarbības iestāde veic pārbaudi par projekta iesniedzēja atbilstību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22. pantā</w:t>
      </w:r>
      <w:r w:rsidR="00000000" w:rsidRPr="00000000" w:rsidDel="00000000">
        <w:rPr>
          <w:rtl w:val="0"/>
        </w:rPr>
        <w:t xml:space="preserve"> noteiktajiem projektu iesniedzēju izslēgšanas noteikumiem (izņemot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22. panta</w:t>
      </w:r>
      <w:r w:rsidR="00000000" w:rsidRPr="00000000" w:rsidDel="00000000">
        <w:rPr>
          <w:rtl w:val="0"/>
        </w:rPr>
        <w:t xml:space="preserve"> pirmās daļas 5. punktā minēto noteikumu).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Sadarbības iestāde projektu iesniegumu atlasi izsludina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atlase ir atklāta, sadarbības iestāde oficiālajā izdevumā "Latvijas Vēstnesis" iesniedz paziņojumu par šīs atlases izsludināšanu un ne vēlāk kā atlases izsludināšanas dienā Eiropas Savienības fondu tīmekļvietnē (www.esfondi.lv) ievieto projektu iesniegumu atlases nolikumu;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atlase ir ierobežota, sadarbības iestāde normatīvajā aktā par specifiskā atbalsta mērķa īstenošanu noteiktajiem projektu iesniedzējiem nosūta uzaicinājumu iesniegt projekta iesniegumu, informējot par to atbildīgo iestādi, un nodrošina, ka uzaicinājuma nosūtīšanas dienā Eiropas Savienības fondu tīmekļvietnē (www.esfondi.lv) ir pieejams projektu iesniegumu atlases nolikums.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Projektu iesniegumu vērtēšanas komisija pēc projektu iesniegumu iesniegšanas termiņa beigām vērtē projektu iesniegumus saskaņā ar projektu iesniegumu vērtēšanas kritērijiem, ievērojot minēto kritēriju piemērošanas metodiku. Ja projektu iesniegumu atlase ir ierobežota, projektu iesniegumu vērtēšanas komisija projekta iesniegumu šajā punktā minētajā kārtībā var sākt vērtēt uzreiz pēc tā saņemšanas. Atbildīgā iestāde normatīvajā aktā par specifiskā atbalsta mērķa īstenošanu var noteikt, ka ierobežotā projektu iesniegumu atlasē piemēro tikai vienotos kritērijus un vienotos izvēles kritērijus.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Līguma vai vienošanās projektu var precizēt atbilstoši projekta specifikai līguma vai vienošanās slēgšanas procesā.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Sadarbības iestāde un finansējuma saņēmējs līgumu vai vienošanos noslēdz 30 darbdienu laikā no brīža, kad stājies spēkā lēmums par projekta iesnieguma apstiprināšanu vai atzinums par lēmumā ietverto nosacījumu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Pēc finansējuma saņēmēja motivēta lūguma vai citu objektīvu apstākļu dēļ sadarbības iestāde var pagarināt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minēto līguma vai vienošanās noslēgšanas termiņu, ievērojot, lai tas kopumā no brīža, kad stājies spēkā lēmums par projekta iesnieguma apstiprināšanu vai atzinums par lēmumā ietverto nosacījumu izpildi, nepārsniedz 60 darbdienas. Pēc minētā termiņa līguma vai vienošanās slēgšana nav pieļaujama.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Pēc lēmuma pieņemšanas par projekta iesnieguma apstiprināšanu vai atzinuma sniegšanas par lēmumā ietverto nosacījumu izpildi, bet pirms līguma vai vienošanās noslēgšanas finansējuma saņēmējs vai sadarbības iestāde var precizēt projekta iesniegumā norādīto informāciju, ja tā ir zaudējusi aktualitāti un pēc būtības nemaina projekta iesniegumu. Precizējumus izdara, nepārsniedzot 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minēto termiņu.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Projektu iesniegumu vērtēšanas kritēriju un to piemērošanas metodikas izstrādes apjoms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Vadošā iestāde izstrādā vienotos projektu iesniegumu vērtēšanas kritērijus un ietver tos projektu iesniegumu atlases metodikā.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minētajā metodikā ietver: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aprakstu par projektu iesniegumu vērtēšanas kritēriju veidiem un to izstrādi;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atlases un vērtēšanas principus;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vienoto kritēriju sarakstu, kuri iekļaujami visos projektu iesniegumu vērtēšanas kritēriju komplektos;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vienoto izvēles kritēriju sarakstu, kuri iekļaujami projektu iesniegumu vērtēšanas kritēriju komplektos, ņemot vērā normatīvajos aktos par specifiskā atbalsta mērķa īstenošanu ietvertās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minētajā metodikā ietverto šo noteikumu </w:t>
      </w:r>
      <w:r w:rsidR="00000000" w:rsidRPr="00000000" w:rsidDel="00000000">
        <w:rPr>
          <w:rtl w:val="0"/>
        </w:rPr>
        <w:t xml:space="preserve">22.3.</w:t>
      </w:r>
      <w:r w:rsidR="00000000" w:rsidRPr="00000000" w:rsidDel="00000000">
        <w:rPr>
          <w:rtl w:val="0"/>
        </w:rPr>
        <w:t xml:space="preserve"> apakšpunktā</w:t>
      </w:r>
      <w:r w:rsidR="00000000" w:rsidRPr="00000000" w:rsidDel="00000000">
        <w:rPr>
          <w:rtl w:val="0"/>
        </w:rPr>
        <w:t xml:space="preserve"> minēto vienoto kritēriju un </w:t>
      </w:r>
      <w:r w:rsidR="00000000" w:rsidRPr="00000000" w:rsidDel="00000000">
        <w:rPr>
          <w:rtl w:val="0"/>
        </w:rPr>
        <w:t xml:space="preserve">22.4.</w:t>
      </w:r>
      <w:r w:rsidR="00000000" w:rsidRPr="00000000" w:rsidDel="00000000">
        <w:rPr>
          <w:rtl w:val="0"/>
        </w:rPr>
        <w:t xml:space="preserve"> apakšpunktā</w:t>
      </w:r>
      <w:r w:rsidR="00000000" w:rsidRPr="00000000" w:rsidDel="00000000">
        <w:rPr>
          <w:rtl w:val="0"/>
        </w:rPr>
        <w:t xml:space="preserve"> minēto vienoto izvēles kritēriju piemērošanas skaidrojumi piemērojami visiem specifiskajiem atbalsta mērķiem vienādi.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Atbildīgā iestāde izstrādā  specifiskos atbilstības un kvalitātes kritērijus un šo kritēriju piemērošanas skaidrojumus, ņemot vērā attiecīgā specifiskā atbalsta mērķa specifiku. Specifisko atbilstības un kvalitātes kritēriju piemērošanas skaidrojumus atbildīgā iestāde izstrādā kopīgi ar sadarbības iestādi. Atbildīgā iestāde izstrādā piemērošanas skaidrojumus tiem šo noteikumu </w:t>
      </w:r>
      <w:r w:rsidR="00000000" w:rsidRPr="00000000" w:rsidDel="00000000">
        <w:rPr>
          <w:rtl w:val="0"/>
        </w:rPr>
        <w:t xml:space="preserve">22.3.</w:t>
      </w:r>
      <w:r w:rsidR="00000000" w:rsidRPr="00000000" w:rsidDel="00000000">
        <w:rPr>
          <w:rtl w:val="0"/>
        </w:rPr>
        <w:t xml:space="preserve"> apakšpunktā</w:t>
      </w:r>
      <w:r w:rsidR="00000000" w:rsidRPr="00000000" w:rsidDel="00000000">
        <w:rPr>
          <w:rtl w:val="0"/>
        </w:rPr>
        <w:t xml:space="preserve"> minētajiem vienotajiem kritērijiem un šo noteikumu </w:t>
      </w:r>
      <w:r w:rsidR="00000000" w:rsidRPr="00000000" w:rsidDel="00000000">
        <w:rPr>
          <w:rtl w:val="0"/>
        </w:rPr>
        <w:t xml:space="preserve">22.4.</w:t>
      </w:r>
      <w:r w:rsidR="00000000" w:rsidRPr="00000000" w:rsidDel="00000000">
        <w:rPr>
          <w:rtl w:val="0"/>
        </w:rPr>
        <w:t xml:space="preserve"> apakšpunktā</w:t>
      </w:r>
      <w:r w:rsidR="00000000" w:rsidRPr="00000000" w:rsidDel="00000000">
        <w:rPr>
          <w:rtl w:val="0"/>
        </w:rPr>
        <w:t xml:space="preserve"> minētajiem vienotajiem izvēles kritērijiem, kuriem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minētajā metodikā nav ietverti vienotie piemērošanas skaidrojumi. Minētos piemērošanas skaidrojumus atbildīgā iestāde izstrādā kopīgi ar sadarbības iestādi.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Kārtība, kādā izvērtē projekta iesniedzēja atbilstību izslēgšanas noteikumiem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pārbaudītu, vai uz projekta iesniedzēju nav attiecināms kāds no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22. panta</w:t>
      </w:r>
      <w:r w:rsidR="00000000" w:rsidRPr="00000000" w:rsidDel="00000000">
        <w:rPr>
          <w:rtl w:val="0"/>
        </w:rPr>
        <w:t xml:space="preserve"> pirmās daļas 1., 2. un 3. punktā minētajiem noziedzīgajiem nodarījumiem un pārkāpumiem, par kuriem attiecīgā panta pirmajā daļā minētā persona sodīta Latvijā, vai nav iestājušies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22. panta</w:t>
      </w:r>
      <w:r w:rsidR="00000000" w:rsidRPr="00000000" w:rsidDel="00000000">
        <w:rPr>
          <w:rtl w:val="0"/>
        </w:rPr>
        <w:t xml:space="preserve"> pirmās daļas 4. punktā minētie fakti, sadarbības iestāde, izmantojot valsts informācijas sistēmu savietotāju, iegūst ziņas no Sodu reģistra un Latvijas Republikas Uzņēmumu reģistra informācijas sistēmas šādā apmērā: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22. panta</w:t>
      </w:r>
      <w:r w:rsidR="00000000" w:rsidRPr="00000000" w:rsidDel="00000000">
        <w:rPr>
          <w:rtl w:val="0"/>
        </w:rPr>
        <w:t xml:space="preserve"> pirmās daļas 1., 2. un 3. punktā minētajiem pārkāpumiem un noziedzīgajiem nodarījumiem – no Iekšlietu ministrijas Informācijas centra (Sodu reģistra). Sadarbības iestāde minēto informāciju no Iekšlietu ministrijas Informācijas centra (Sodu reģistra) ir tiesīga saņemt, neprasot projekta iesniedzēja un citu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22. panta</w:t>
      </w:r>
      <w:r w:rsidR="00000000" w:rsidRPr="00000000" w:rsidDel="00000000">
        <w:rPr>
          <w:rtl w:val="0"/>
        </w:rPr>
        <w:t xml:space="preserve"> pirmās daļas 1. punktā minēto personu piekrišanu;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22. panta</w:t>
      </w:r>
      <w:r w:rsidR="00000000" w:rsidRPr="00000000" w:rsidDel="00000000">
        <w:rPr>
          <w:rtl w:val="0"/>
        </w:rPr>
        <w:t xml:space="preserve"> pirmās daļas 4. punktā minētajiem faktiem – no Latvijas Republikas Uzņēmumu reģistra (Uzņēmumu reģistra informācijas sistēmas).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minēto informāciju (veidlapas paraugs –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sadarbības iestādei sniedz valsts informācijas sistēmu savietotāja pārzinis (Valsts reģionālās attīstības aģentūra).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Iekšlietu ministrijas Informācijas centrs (Sodu reģistrs) sniedz ziņas par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minētajiem </w:t>
      </w:r>
      <w:r w:rsidR="00000000" w:rsidRPr="00000000" w:rsidDel="00000000">
        <w:rPr>
          <w:rtl w:val="0"/>
        </w:rPr>
        <w:t xml:space="preserve">Krimināllikuma</w:t>
      </w:r>
      <w:r w:rsidR="00000000" w:rsidRPr="00000000" w:rsidDel="00000000">
        <w:rPr>
          <w:rtl w:val="0"/>
        </w:rPr>
        <w:t xml:space="preserve">, </w:t>
      </w:r>
      <w:r w:rsidR="00000000" w:rsidRPr="00000000" w:rsidDel="00000000">
        <w:rPr>
          <w:rtl w:val="0"/>
        </w:rPr>
        <w:t xml:space="preserve">Konkurences likuma</w:t>
      </w:r>
      <w:r w:rsidR="00000000" w:rsidRPr="00000000" w:rsidDel="00000000">
        <w:rPr>
          <w:rtl w:val="0"/>
        </w:rPr>
        <w:t xml:space="preserve">, </w:t>
      </w:r>
      <w:r w:rsidR="00000000" w:rsidRPr="00000000" w:rsidDel="00000000">
        <w:rPr>
          <w:rtl w:val="0"/>
        </w:rPr>
        <w:t xml:space="preserve">Imigrācijas likuma</w:t>
      </w:r>
      <w:r w:rsidR="00000000" w:rsidRPr="00000000" w:rsidDel="00000000">
        <w:rPr>
          <w:rtl w:val="0"/>
        </w:rPr>
        <w:t xml:space="preserve"> un </w:t>
      </w:r>
      <w:r w:rsidR="00000000" w:rsidRPr="00000000" w:rsidDel="00000000">
        <w:rPr>
          <w:rtl w:val="0"/>
        </w:rPr>
        <w:t xml:space="preserve">Darba likuma</w:t>
      </w:r>
      <w:r w:rsidR="00000000" w:rsidRPr="00000000" w:rsidDel="00000000">
        <w:rPr>
          <w:rtl w:val="0"/>
        </w:rPr>
        <w:t xml:space="preserve"> pārkāpumiem.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sadarbības iestādei tehnisku iemeslu dēļ nav iespējams informāciju iegūt, izmantojot valsts informācijas sistēmas savietotāju, sadarbības iestāde attiecīgo informāciju pieprasa no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minētajām valsts iestādēm.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Līguma vai vienošanās saturs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Līguma vai vienošanās neatņemamas sastāvdaļas ir projekta iesniegums un līguma vai vienošanās vispārīgie noteikumi.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Sadarbības iestāde līguma vai vienošanās individuālās daļas saturā iekļauj vismaz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iestādes un finansējuma saņēmēja rekvizīti;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darbību īstenošanas laiks;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laikposms, kurā veiktās izmaksas var uzskatīt par attiecināmām, nepārsniedzot normatīvajos aktos par specifiskā atbalsta mērķa īstenošanu noteikto termiņu;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kopējie izdevumi, tai skaitā Eiropas Savienības fonda un projekta līdzfinansējuma (valsts budžeta finansējums, pašvaldību finansējums, cits publiskais finansējums, privātais finansējums) apmērs;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speciālie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Sadarbības iestāde līguma vai vienošanās vispārīgajos noteikumos iekļauj vismaz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iestādes un finansējuma saņēmēja tiesības un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un tā sadarbības partnera sadarbības noteikumi,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kārtība, kādā sagatavojama, iesniedzama, izskatāma un apstiprināma Eiropas Savienības fonda maksājuma pieprasījuma un projekta īstenošanas uzraudzībai un izvērtēšanai nepieciešamā informācija;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Savienības fonda un valsts budžeta finansējuma izmaksas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uzraudzības, kontroļu un citu pārbaužu veikšanas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pēcuzraudzības kārtība, kā arī komercdarbības atbalsta nosacījumu ievērošanas nosacījumi,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līguma vai vienošanās izpildi saistīto paziņojumu iesniegšanas kārtība un kārtība, kādā tie atzīstami par saistošiem;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ar projekta īstenošanu saistīto dokumentu uzglabāšanas termiņš;</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piešķirto finanšu līdzekļu izmaksas apturēšanas, izmaksas turpināšanas un atgūšanas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noteikumi par saistību tiesību pastiprinājumiem un sankcijām;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līguma vai vienošanās grozīšanas un izbeigšanas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rīcība nepārvaramas varas gadījumā;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strīdu izšķiršanas kārtība.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Līguma vai vienošanās grozījumu izdarīšanas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pēc līguma vai vienošanās noslēgšanas to individuālajā daļā vai projekta iesniegumā ir nepieciešami grozījumi, sadarbības iestāde vai finansējuma saņēmējs KPV informācijas sistēmā ierosina līguma vai vienošanās grozījumus.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mainījušies finansējuma saņēmēja pamatdati (kontaktinformācija, juridiskā adrese, atbildīgā amatpersona), sadarbības iestāde vai finansējuma saņēmējs veic atbilstošas izmaiņas KPV informācijas sistēmā.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Sadarbības iestāde veic atbilstošas izmaiņas KPV informācijas sistēmā, par to vienpusēji paziņojot finansējuma saņēmējam, ja veicami šādi līguma vai vienošanās grozījumi: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projekta attiecināmā finansējuma gala summu pēc informācijas par projekta izdevumiem, īstenošanas progresu un rādītāju sasniegšanu un projekta noslēguma maksājuma pieprasījuma izskatīšanas;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samazinot projekta attiecināmo izdevumu summu par neatbilstoši veikto izdevumu summu pēc lēmuma par neatbilstības konstatēšanu apstrīdēšanas termiņa beigām;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izmaiņām līguma vai vienošanās vispārīgajos noteikumos.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Sadarbības iestādei ir tiesības veikt vienpusēju uzteikumu, atkāpjoties no līguma vai vienošanās, šādos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līguma vai vienošanās nosacījumus, tai skaitā projekts netiek īstenots atbilstoši noteiktajiem termiņiem vai ir iestājušies citi apstākļi, kas negatīvi ietekmē vai var ietekmēt līguma vai vienošanās nosacījumu izpildi;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kurus nosaka līgums vai vienošanās.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ir nepieciešami līguma vai vienošanās grozījumi (izņemot šo noteikumu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minētos grozījumus), tos izdara šādā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iesniedz grozījumu priekšlikumu KPV informācijas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iestāde 20 darbdienu laikā pēc grozījumu priekšlikuma saņemšanas pārbauda iesniegto grozījumu lietderību, pamatotību un nepieciešamību projekta sākotnējā mērķa sasniegšanai un apstiprina līguma vai vienošanās grozījumus vai noraida grozījumu priekšlikumu;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sadarbības iestāde noraida grozījumu priekšlikumu, tā norāda atteikuma pamatojumu;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veicami grozījumu priekšlikuma precizējumi, sadarbības iestāde informē finansējuma saņēmēju par veicamajiem precizējumiem grozījumu priekšlikumā un tā atkārtotas iesniegšanas kārtību. Grozījumu izvērtēšanas termiņu pagarina par precizējumu iesniegšanai un izskatīšanai nepieciešamo laiku.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36.2.</w:t>
      </w:r>
      <w:r w:rsidR="00000000" w:rsidRPr="00000000" w:rsidDel="00000000">
        <w:rPr>
          <w:rtl w:val="0"/>
        </w:rPr>
        <w:t xml:space="preserve"> apakšpunktam</w:t>
      </w:r>
      <w:r w:rsidR="00000000" w:rsidRPr="00000000" w:rsidDel="00000000">
        <w:rPr>
          <w:rtl w:val="0"/>
        </w:rPr>
        <w:t xml:space="preserve"> izvērtējot iesniegto grozījumu lietderību, pamatotību un nepieciešamību projekta sākotnējā mērķa sasniegšanai, sadarbības iestāde saskaņā ar noslēgto starpresoru vienošanos saskaņo iesniegtos grozījumus ar atbildīgo iestādi, ja grozījumi ietekmē noteiktos atbildīgās iestādes pienākumus specifiskā atbalsta mērķa vai pasākuma rezultātu sasniegšanā.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Kārtība, kādā Eiropas Savienības fondu vadībā iesaistītās institūcijas un finansējuma saņēmējs publisko informāciju par projektiem un nodrošina Eiropas Savienības fondu publicitātes, saziņas un vizuālās identitātes prasību ievērošanu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Vadošā iestāde: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regulas  </w:t>
      </w:r>
      <w:r w:rsidR="00000000" w:rsidRPr="00000000" w:rsidDel="00000000">
        <w:rPr>
          <w:rtl w:val="0"/>
        </w:rPr>
        <w:t xml:space="preserve">2021/1060</w:t>
      </w:r>
      <w:r w:rsidR="00000000" w:rsidRPr="00000000" w:rsidDel="00000000">
        <w:rPr>
          <w:rtl w:val="0"/>
        </w:rPr>
        <w:t xml:space="preserve"> 46., 47., 48. un 49. pantā noteikto pienākumu īstenošanu;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un publicē Eiropas Savienības fondu tīmekļvietnē (www.esfondi.lv) Eiropas Savienības fondu 2021.–2027. gada plānošanas perioda un Atveseļošanas fonda komunikācijas un dizaina vadlīnijas (turpmāk – komunikācijas vadlīnijas);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publisko un atjaunina Eiropas Savienības fondu tīmekļvietnē (www.esfondi.lv) informāciju atbilstoši regulas  </w:t>
      </w:r>
      <w:r w:rsidR="00000000" w:rsidRPr="00000000" w:rsidDel="00000000">
        <w:rPr>
          <w:rtl w:val="0"/>
        </w:rPr>
        <w:t xml:space="preserve">2021/1060</w:t>
      </w:r>
      <w:r w:rsidR="00000000" w:rsidRPr="00000000" w:rsidDel="00000000">
        <w:rPr>
          <w:rtl w:val="0"/>
        </w:rPr>
        <w:t xml:space="preserve"> 49. panta 1., 2., 3., 4. un 5. punktam, kā arī citu informāciju par Eiropas Savienības fondu ieviešanu un projektiem atbilstoši komunikācijas vadlīnijām;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Eiropas Savienības fondu stratēģisko komunikāciju nozaru līmenī, izstrādājot komunikācijas stratēģiju Eiropas Savienības fondu 2021.–2027. gada plānošanas periodam (turpmāk – stratēģija). Stratēģiju sadarbībā ar atbildīgajām iestādēm un sadarbības iestādi aktualizē reizi gadā;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izstrādā kopējo Eiropas Savienības fondu plānošanas perioda komunikācijas plānu, kā arī līdz kārtējā gada 1. decembrim – ikgadējo komunikācijas plānu, kurā ietverti nākamajā kalendāra gadā plānotie vadošās iestādes komunikācijas pasākumi stratēģijas ieviešanai;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koordinē Eiropas Savienības fondu vadībā iesaistīto institūciju ikgadējo Eiropas Savienības fondu komunikācijas plānu (turpmāk – komunikācijas plāns) izstrādi stratēģijas ieviešanai;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vismaz reizi nedēļā nodrošina komunikācijas plānā iekļautās un operatīvās informācijas atjaunošanu;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vadošās iestādes izveidotās Eiropas Savienības fondu komunikācijas vadības grupas darbību, izstrādā tās reglamentu un nosaka dalībnieku sastāvu. Darba grupas darbā piedalās Eiropas Savienības fondu vadībā iesaistīto institūciju pārstāvji un var tikt pieaicināti biedrību un nodibinājumu pārstāvji un citi eksperti;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atbildīgajām iestādēm un sadarbības iestādei metodisku atbalstu informācijas un komunikācijas pasākumu īstenošanā;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plašsaziņas līdzekļiem un ievieto sociālajos medijos informāciju par Eiropas Savienības fondu plānošanu un ieviešanu.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Atbildīgā iestāde: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kopējo Eiropas Savienības fondu plānošanas perioda komunikācijas plānu, kā arī līdz kārtējā gada 1. decembrim – ikgadējo komunikācijas plānu, kurā ietverti nākamajā kalendāra gadā plānotie atbildīgās iestādes komunikācijas pasākumi stratēģijas ieviešanai;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 attiecīgās ministrijas pārziņā esošu Eiropas Savienības fondu komunikācijas vadības grupu un nodrošina tās darbību. Darba grupas darbā piedalās atbildīgās iestādes pārstāvji un var tikt pieaicināti Eiropas Savienības fondu finansējuma saņēmēju pārstāvji, vadošās iestādes, biedrību un nodibinājumu pārstāvji un citi eksperti;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plašsaziņas līdzekļiem un ievieto sociālajos medijos informāciju par Eiropas Savienības fondu plānošanu un ieviešanu;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un reizi gadā līdz 1. novembrim elektroniski iesniedz vadošajā iestādē informāciju par attiecīgajā gadā īstenotajiem informācijas un komunikācijas pasākumiem un sasniegtajiem stratēģijas informācijas un komunikācijas pasākumu rādītājiem;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publisko Eiropas Savienības fondu tīmekļvietnē (www.esfondi.lv) informāciju par Eiropas Savienības fondu ieviešanu un projektiem atbilstoši komunikācijas vadlīnijām;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komunikācijas un publicitātes pasākumus par stratēģiski svarīgiem projektiem un darbībām.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Sadarbības iestāde: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kopējo Eiropas Savienības fondu plānošanas perioda komunikācijas plānu, kā arī līdz kārtējā gada 1. decembrim – ikgadējo komunikācijas plānu, kurā ietverti nākamajā kalendāra gadā plānotie sadarbības iestādes komunikācijas pasākumi stratēģijas ieviešanai;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plašsaziņas līdzekļiem un ievieto sociālajos medijos informāciju par Eiropas Savienības fondu ieviešanu;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informācijas centra funkcijas, sniedzot interesentiem atbildes par Eiropas Savienības fondu pieejamo atbalstu;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informācijas un komunikācijas pasākumus atbilstoši iestādes kompetencei;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uzrauga, kā finansējuma saņēmēji izpilda regulas  </w:t>
      </w:r>
      <w:r w:rsidR="00000000" w:rsidRPr="00000000" w:rsidDel="00000000">
        <w:rPr>
          <w:rtl w:val="0"/>
        </w:rPr>
        <w:t xml:space="preserve">2021/1060</w:t>
      </w:r>
      <w:r w:rsidR="00000000" w:rsidRPr="00000000" w:rsidDel="00000000">
        <w:rPr>
          <w:rtl w:val="0"/>
        </w:rPr>
        <w:t xml:space="preserve"> 47., 50. pantā un IX pielikumā un komunikācijas vadlīnijās noteiktos pienākumus informācijas un komunikācijas jomā;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sagatavo un reizi gadā līdz 1. novembrim elektroniski iesniedz vadošajā iestādē informāciju par attiecīgajā gadā īstenotajiem informācijas un komunikācijas pasākumiem un sasniegtajiem stratēģijas informācijas un komunikācijas pasākumu rādītājiem;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atbilstoši iestādes kompetencei sniedz vadošajai iestādei atbalstu informācijas publiskošanā Eiropas Savienības fondu tīmekļvietnē (www.esfondi.lv), kā arī publisko minētajā tīmekļvietnē citu informāciju par Eiropas Savienības fondu ieviešanu un projektiem atbilstoši komunikācijas vadlīnijām.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Revīzijas iestāde veic komunikācijas un publicitātes pasākumus, kas attiecināmi uz revīzijas iestādes funkciju izpildi.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Finansējuma saņēmējs publisko informāciju par projektiem un nodrošina Eiropas Savienības fondu publicitātes, saziņas un vizuālās identitātes prasību ievērošanu, pildot regulas  </w:t>
      </w:r>
      <w:r w:rsidR="00000000" w:rsidRPr="00000000" w:rsidDel="00000000">
        <w:rPr>
          <w:rtl w:val="0"/>
        </w:rPr>
        <w:t xml:space="preserve">2021/1060</w:t>
      </w:r>
      <w:r w:rsidR="00000000" w:rsidRPr="00000000" w:rsidDel="00000000">
        <w:rPr>
          <w:rtl w:val="0"/>
        </w:rPr>
        <w:t xml:space="preserve"> 47., 50. pantā un IX pielikumā noteiktos pienākumus.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Eiropas Savienības fondu vadībā iesaistītās institūcijas un finansējuma saņēmēji ievēro komunikācijas vadlīnijās noteiktās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Projekta izmaksu un ieguvumu analīze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normatīvais akts par specifiskā atbalsta mērķa īstenošanu projekta iesniedzējam paredz pienākumu veikt projekta izmaksu un ieguvumu analīzi vai tās daļu (finanšu analīzi, ekonomisko analīzi vai jutīguma analīzi), projekta iesniedzējs veic aprēķinus, aizpilda veidlapu "Projekta izmaksu un ieguvumu analīzes galvenie pieņēmumi un rezultāti"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 un pievieno to projekta iesniegumam.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Lai nodrošinātu iespēju savstarpēji salīdzināt projektus specifiskā atbalsta mērķa vai pasākuma vienas projektu iesniegumu atlases kārtas ietvaros, sadarbības iestāde projektu iesniegumu atlases nolikumā iekļauj informāciju par to, kur projekta iesniedzējam, sākot ar projektu iesniegumu atlases kārtas izsludināšanas dienu, ir pieejami aktuālie makroekonomiskie pieņēmumi un prognozes atbilstoši normatīvajiem aktiem publiskās un privātās partnerības jomā, ko projekta iesniedzējam ir pienākums izmantot, sagatavojot projekta iesniegumu konkrētās projektu iesniegumu atlases kārtas ietvaros.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minētos makroekonomiskos pieņēmumus un prognozes piemēro projekta iesnieguma sagatavošanas, vērtēšanas, apstiprināšanas un projekta īstenošanas laikā attiecīgās projektu iesniegumu atlases kārtas ietvaros.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25-TA-348</w:t>
    </w:r>
    <w:r>
      <w:br/>
    </w:r>
    <w:r w:rsidR="00000000" w:rsidRPr="00000000" w:rsidDel="00000000">
      <w:rPr>
        <w:rtl w:val="0"/>
      </w:rPr>
      <w:t xml:space="preserve">Izdrukāts 29.07.2026. 22.39 - 1.0.VK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25-TA-348</w:t>
    </w:r>
    <w:r>
      <w:br/>
    </w:r>
    <w:r w:rsidR="00000000" w:rsidRPr="00000000" w:rsidDel="00000000">
      <w:rPr>
        <w:rtl w:val="0"/>
      </w:rPr>
      <w:t xml:space="preserve">Izdrukāts 29.07.2026. 22.39 - 1.0.VK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noteikumu_konsolidētā_versija_25-TA-348.docx</dc:title>
</cp:coreProperties>
</file>

<file path=docProps/custom.xml><?xml version="1.0" encoding="utf-8"?>
<Properties xmlns="http://schemas.openxmlformats.org/officeDocument/2006/custom-properties" xmlns:vt="http://schemas.openxmlformats.org/officeDocument/2006/docPropsVTypes"/>
</file>