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ilgtermiņa valsts pētījumu programmu "Inovāciju fonds – ilgtermiņa pētījumu programma"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Zinātniskās darbības likuma 13. panta</w:t>
      </w:r>
      <w:r w:rsidR="00000000" w:rsidRPr="00000000" w:rsidDel="00000000">
        <w:rPr>
          <w:rtl w:val="0"/>
        </w:rPr>
        <w:t xml:space="preserve"> otrās daļas 3. punktu, kā arī pamatojoties uz </w:t>
      </w:r>
      <w:r w:rsidR="00000000" w:rsidRPr="00000000" w:rsidDel="00000000">
        <w:rPr>
          <w:rtl w:val="0"/>
        </w:rPr>
        <w:t xml:space="preserve">Ministru kabineta 2018. gada 4. septembra noteikumu Nr. 560 "Valsts pētījumu programmu projektu īstenošanas kārtība" 69.</w:t>
      </w:r>
      <w:r w:rsidR="00000000" w:rsidRPr="00000000" w:rsidDel="00000000">
        <w:rPr>
          <w:vertAlign w:val="superscript"/>
          <w:rtl w:val="0"/>
        </w:rPr>
        <w:t xml:space="preserve">1</w:t>
      </w:r>
      <w:r w:rsidR="00000000" w:rsidRPr="00000000" w:rsidDel="00000000">
        <w:rPr>
          <w:rtl w:val="0"/>
        </w:rPr>
        <w:t xml:space="preserve"> punktu</w:t>
      </w:r>
      <w:r w:rsidR="00000000" w:rsidRPr="00000000" w:rsidDel="00000000">
        <w:rPr>
          <w:rtl w:val="0"/>
        </w:rPr>
        <w:t xml:space="preserve">, apstiprināt ilgtermiņa valsts pētījumu programmu "Inovāciju fonds – ilgtermiņa pētījumu programma" (turpmāk – ilgtermiņa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Ekonomikas ministriju par atbildīgo institūciju ilgtermiņa programmas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Ilgtermiņa programmas kopējais finansējums laikposmam no 2024. gada līdz 2026. gadam ir 22 000 000</w:t>
      </w:r>
      <w:r w:rsidR="00000000" w:rsidRPr="00000000" w:rsidDel="00000000">
        <w:rPr>
          <w:i w:val="1"/>
          <w:rtl w:val="0"/>
        </w:rPr>
        <w:t xml:space="preserve"> euro</w:t>
      </w:r>
      <w:r w:rsidR="00000000" w:rsidRPr="00000000" w:rsidDel="00000000">
        <w:rPr>
          <w:rtl w:val="0"/>
        </w:rPr>
        <w:t xml:space="preserve">, tai skaitā 2024. gadam – 4 000 000 </w:t>
      </w:r>
      <w:r w:rsidR="00000000" w:rsidRPr="00000000" w:rsidDel="00000000">
        <w:rPr>
          <w:i w:val="1"/>
          <w:rtl w:val="0"/>
        </w:rPr>
        <w:t xml:space="preserve">euro</w:t>
      </w:r>
      <w:r w:rsidR="00000000" w:rsidRPr="00000000" w:rsidDel="00000000">
        <w:rPr>
          <w:rtl w:val="0"/>
        </w:rPr>
        <w:t xml:space="preserve">, 2025. gadam – 10 000 000 </w:t>
      </w:r>
      <w:r w:rsidR="00000000" w:rsidRPr="00000000" w:rsidDel="00000000">
        <w:rPr>
          <w:i w:val="1"/>
          <w:rtl w:val="0"/>
        </w:rPr>
        <w:t xml:space="preserve">euro</w:t>
      </w:r>
      <w:r w:rsidR="00000000" w:rsidRPr="00000000" w:rsidDel="00000000">
        <w:rPr>
          <w:rtl w:val="0"/>
        </w:rPr>
        <w:t xml:space="preserve">, 2026. gadam – 8 000 000 </w:t>
      </w:r>
      <w:r w:rsidR="00000000" w:rsidRPr="00000000" w:rsidDel="00000000">
        <w:rPr>
          <w:i w:val="1"/>
          <w:rtl w:val="0"/>
        </w:rPr>
        <w:t xml:space="preserve">euro</w:t>
      </w:r>
      <w:r w:rsidR="00000000" w:rsidRPr="00000000" w:rsidDel="00000000">
        <w:rPr>
          <w:rtl w:val="0"/>
        </w:rPr>
        <w:t xml:space="preserve">. Programmu finansē no Ekonomikas ministrijai valsts budžeta programmai 35.00.00 "Valsts atbalsta programmas"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Ilgtermiņa programmas virsmērķis – jaunu zināšanu, kā arī produktu un tehnoloģiju risinājumu attīstība ilgtermiņā Latvijā apstiprinātajās viedās specializācijas stratēģijas jomās "Biomedicīna, medicīnas tehnoloģijas un farmācija" un "Fotonika un viedie materiāli, tehnoloģijas un inženiersistēmas".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Ilgtermiņa programmas mērķis – attīstīt akadēmiskās pētniecības un lietišķās zinātnes kompetences inovatīvu un komercializējamu produktu un tehnoloģiju izstrādei ciešā sadarbībā ar Latvijas biomedicīnas, medicīnas tehnoloģiju, farmācijas, fotonikas, viedo materiālu, elektronikas, elektrotehnikas, tehnoloģiju un inženiersistēmu nozarēm.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ilgtermiņa programmas mērķa sasniegšanai šādus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specializācijas stratēģijas jomā "Biomedicīna, medicīnas tehnoloģijas un farmācija" – terapijas pieejamības uzlabošana dzīvildzes un darbspējas pieaugumam, attīstot zāļu, to transportformu un vakcīnu ražošanas tehnoloģijas, īstenojot zāļvielu pārprofilēšanu, jaunu zāļu atklāšanu un attīstības pētījumus, kā arī identificējot jaunus biomarķierus un attīstot precīzijas medicīnas risinājumus;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specializācijas stratēģijas jomā "Fotonika un viedie materiāli, tehnoloģijas un inženiersistēmas" – optikas, fotonikas, mikroelektronikas, mikrofluīdikas ierīču, viedo materiālu, datu pārraides un sakaru tehnoloģiju, sensoru un inženiersistēmu, robotikas un nākotnes lietu interneta risinājumu attīstīšana.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ilgtermiņa programmai šādus kopīgus (horizontālos)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veidot un attīstīt starpdisciplināras un iekļaujošas starptautiski konkurētspējīgas zinātnieku grupas, kas zinātniskajā darbībā izmanto pētniecības metodes un tehnoloģijas, kas ir atzītas pasaules zinātnieku vidū;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zinātnisko grupu sadarbību ar attiecīgās tautsaimniecības nozares speciālistiem;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iesaistīties starptautiskās sadarbības tīklos un konsorcijos;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 inovatīvus risinājumus un veicināt to plašāku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informēt sabiedrību, iesaistot atbilstošās mērķa grupas, lai veicinātu zināšanu pārnesi, izpratni par pētniecības lomu un devumu sabiedrībai nozīmīgu jautājumu risināšanā.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ilgtermiņa programmas īstenošanas laikā līdz 2032. gadam šādus sasniedzamos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izstrādātas vismaz 45 tehnoloģijas, tai skaitā prototipi, kas atbilst tehnoloģiju gatavības līmenim Nr. 3, 4 (atbilstoši starptautiskajam standartam ISO 16290:2013), no tām vismaz 30 tehnoloģijas atbilst tehnoloģiju gatavības līmenim Nr. 5, 6 (atbilstoši starptautiskajam standartam ISO 16290:2013);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piecas jaunas komercializācijā nodotas tehnoloģijas, tai skaitā prototipi.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2026. gadā ilgtermiņa programmu var pagarināt turpmākai īstenošanai līdz 2029. gadam un 2029. gadā ilgtermiņa programmu var pagarināt turpmākai īstenošanai līdz 2032. gadam atbilstoši Ekonomikas ministrijas valsts budžeta programmā 35.00.00 "Valsts atbalsta programmas" šim mērķim paredzētajam finansējumam, ja iepriekšējā ilgtermiņa programmas īstenošanas periodā tiek sasniegti noteiktie ilgtermiņa programmas starpposma perioda darbības rezultāti.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2032. gadā ilgtermiņa programmas īstenošanu var pagarināt līdz vienam gadam bez papildu finansējuma piešķiršanas, ja tas ir nepieciešams ilgtermiņa programmas rezultātu nostiprināšanai un publiskošanai.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24-TA-734</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24-TA-734</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rīkojuma_projekts_24-TA-734.docx</dc:title>
</cp:coreProperties>
</file>

<file path=docProps/custom.xml><?xml version="1.0" encoding="utf-8"?>
<Properties xmlns="http://schemas.openxmlformats.org/officeDocument/2006/custom-properties" xmlns:vt="http://schemas.openxmlformats.org/officeDocument/2006/docPropsVTypes"/>
</file>