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Pievienotās vērtības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Pievienotās vērtības nodokļa likumā (Latvijas Vēstnesis, 2012, 197. nr.; 2013, 27., 194., 232., 237. nr.; 2014, 123. nr.; 2015, 42., 248., 251. nr.; 2016, 120., 241. nr.; 2017, 90., 156., 242. nr.; 2019, 118., 132., 248.A nr.; 2020, 204., 240.A nr.; 2021, 5.A, 234.A, 246. nr.; 2022, 36.A nr.; 2023, 226., 247. nr.; 2024, 248, 251. nr.) šādus grozījumus: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42. panta piekto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samazināto likmi piecu procentu apmērā piemēro 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ja tās ir izdotas vai publicētas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42.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Nodokļa samazināto likmi piecu procentu apmērā piemēro iespieddarba vai elektroniska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ja tās ir izdotas vai publicētas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25-TA-2280</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25-TA-2280</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likumprojekts_(grozījumi)_25-TA-2280.docx</dc:title>
</cp:coreProperties>
</file>

<file path=docProps/custom.xml><?xml version="1.0" encoding="utf-8"?>
<Properties xmlns="http://schemas.openxmlformats.org/officeDocument/2006/custom-properties" xmlns:vt="http://schemas.openxmlformats.org/officeDocument/2006/docPropsVTypes"/>
</file>