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Dzīvokļa īpašuma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Dzīvokļa īpašuma likumā (Latvijas Vēstnesis, 2010, 183. nr.; 2016, 239. nr.; 2017, 128. nr.; 2021, 22., 139., 244.B nr.; 2022, 63., 75.A 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likumu ar 13.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pantu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13</w:t>
      </w:r>
      <w:r w:rsidR="00000000" w:rsidRPr="00000000" w:rsidDel="00000000">
        <w:rPr>
          <w:b w:val="1"/>
          <w:vertAlign w:val="superscript"/>
          <w:rtl w:val="0"/>
        </w:rPr>
        <w:t xml:space="preserve">1</w:t>
      </w:r>
      <w:r w:rsidR="00000000" w:rsidRPr="00000000" w:rsidDel="00000000">
        <w:rPr>
          <w:b w:val="1"/>
          <w:rtl w:val="0"/>
        </w:rPr>
        <w:t xml:space="preserve">.pants. Uz dzīvokļa īpašumu gulošās reālnastas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(1) Uz dzīvokļa īpašnieka pienākumu segt pārvaldīšanas izdevumus, norēķināties par komunālajiem pakalpojumiem, kā arī segt iemaksas uzkrājumu fondā ir attiecināmi Civillikuma noteikumi par reālnastām ciktāl šis likums nenosaka citādi.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(2) Reālnasta dzīvokļa īpašumam tiek uzlikta par labu pārvaldniekam (pārvaldīšanas izdevumi), komunālo pakalpojumu sniedzējam (komunālie pakalpojumi) un dzīvokļu īpašnieku kopībai (iemaksas uzkrājumu fondā). Pienākumu dot izpildījumu naudā nenostiprina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(3) Dzīvokļa īpašuma ieguvējs atbild par parādiem, kas radušies ne agrāk kā trīs gadus pirms dzīvokļa īpašuma atsavināšanas.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(4) Ja vien dzīvokļa īpašuma ieguvējs un persona, kura atsavinājusi dzīvokļa īpašumu nav vienojusies citādi, dzīvokļa īpašuma ieguvējs personai, kura atsavinājusi dzīvokļa īpašumu, var prasīt atlīdzināt doto reālnastas izpildījumu.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(5) Dzīvokļa īpašuma ieguvējs var prasīt personai, kura atsavinājusi dzīvokļa īpašumu, uzrādīt paziņojumu par parāda esamību, kas sagatavots saskaņā ar normatīvajiem aktiem par dzīvojamo māju pārvaldīšanu."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vispārējā kārtībā.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24-TA-703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24-TA-703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likumprojekts_(grozījumi)_24-TA-703.docx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