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7D1" w:rsidRDefault="00F077D1" w:rsidP="00F077D1">
      <w:pPr>
        <w:shd w:val="clear" w:color="auto" w:fill="FFFFFF"/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eastAsia="lv-LV"/>
        </w:rPr>
      </w:pPr>
      <w:r>
        <w:rPr>
          <w:rFonts w:ascii="Cambria" w:eastAsia="Times New Roman" w:hAnsi="Cambria"/>
          <w:sz w:val="19"/>
          <w:szCs w:val="19"/>
          <w:lang w:eastAsia="lv-LV"/>
        </w:rPr>
        <w:t>11. pielikums</w:t>
      </w:r>
      <w:r>
        <w:rPr>
          <w:rFonts w:ascii="Cambria" w:eastAsia="Times New Roman" w:hAnsi="Cambria"/>
          <w:sz w:val="19"/>
          <w:szCs w:val="19"/>
          <w:lang w:eastAsia="lv-LV"/>
        </w:rPr>
        <w:br/>
        <w:t>Ministru kabineta</w:t>
      </w:r>
      <w:r>
        <w:rPr>
          <w:rFonts w:ascii="Cambria" w:eastAsia="Times New Roman" w:hAnsi="Cambria"/>
          <w:sz w:val="19"/>
          <w:szCs w:val="19"/>
          <w:lang w:eastAsia="lv-LV"/>
        </w:rPr>
        <w:br/>
        <w:t>2010. gada 13. aprīļa</w:t>
      </w:r>
      <w:r>
        <w:rPr>
          <w:rFonts w:ascii="Cambria" w:eastAsia="Times New Roman" w:hAnsi="Cambria"/>
          <w:sz w:val="19"/>
          <w:szCs w:val="19"/>
          <w:lang w:eastAsia="lv-LV"/>
        </w:rPr>
        <w:br/>
        <w:t>noteikumiem Nr</w:t>
      </w:r>
      <w:r>
        <w:rPr>
          <w:rFonts w:ascii="Cambria" w:hAnsi="Cambria"/>
          <w:sz w:val="19"/>
          <w:szCs w:val="19"/>
        </w:rPr>
        <w:t xml:space="preserve">. </w:t>
      </w:r>
      <w:r>
        <w:rPr>
          <w:rFonts w:ascii="Cambria" w:eastAsia="Times New Roman" w:hAnsi="Cambria"/>
          <w:sz w:val="19"/>
          <w:szCs w:val="19"/>
          <w:lang w:eastAsia="lv-LV"/>
        </w:rPr>
        <w:t>358</w:t>
      </w:r>
    </w:p>
    <w:p w:rsidR="00F077D1" w:rsidRPr="00F077D1" w:rsidRDefault="00F077D1" w:rsidP="00F077D1">
      <w:pPr>
        <w:shd w:val="clear" w:color="auto" w:fill="FFFFFF"/>
        <w:spacing w:before="130" w:after="0" w:line="260" w:lineRule="exact"/>
        <w:rPr>
          <w:rFonts w:asciiTheme="majorHAnsi" w:eastAsia="Times New Roman" w:hAnsiTheme="majorHAnsi"/>
          <w:i/>
          <w:sz w:val="18"/>
          <w:szCs w:val="18"/>
          <w:lang w:eastAsia="lv-LV"/>
        </w:rPr>
      </w:pPr>
      <w:r w:rsidRPr="00F077D1">
        <w:rPr>
          <w:rFonts w:asciiTheme="majorHAnsi" w:hAnsiTheme="majorHAnsi"/>
          <w:i/>
          <w:sz w:val="18"/>
          <w:szCs w:val="18"/>
        </w:rPr>
        <w:t>(Pielikums MK 28.06.2016. noteikumu Nr. 425 redakcijā)</w:t>
      </w:r>
    </w:p>
    <w:p w:rsidR="00F077D1" w:rsidRDefault="00F077D1" w:rsidP="00F077D1">
      <w:pPr>
        <w:shd w:val="clear" w:color="auto" w:fill="FFFFFF"/>
        <w:tabs>
          <w:tab w:val="left" w:pos="1276"/>
        </w:tabs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F077D1" w:rsidRDefault="00F077D1" w:rsidP="00F077D1">
      <w:pPr>
        <w:shd w:val="clear" w:color="auto" w:fill="FFFFFF"/>
        <w:spacing w:before="130" w:after="0" w:line="260" w:lineRule="exact"/>
        <w:jc w:val="center"/>
        <w:rPr>
          <w:rFonts w:ascii="Cambria" w:eastAsia="Times New Roman" w:hAnsi="Cambria"/>
          <w:b/>
          <w:bCs/>
          <w:sz w:val="19"/>
          <w:szCs w:val="19"/>
          <w:lang w:eastAsia="lv-LV"/>
        </w:rPr>
      </w:pPr>
      <w:r>
        <w:rPr>
          <w:rFonts w:ascii="Cambria" w:eastAsia="Times New Roman" w:hAnsi="Cambria"/>
          <w:b/>
          <w:bCs/>
          <w:sz w:val="19"/>
          <w:szCs w:val="19"/>
          <w:lang w:eastAsia="lv-LV"/>
        </w:rPr>
        <w:t>Periodiskās apmācības programma</w:t>
      </w:r>
      <w:bookmarkStart w:id="0" w:name="_GoBack"/>
      <w:bookmarkEnd w:id="0"/>
    </w:p>
    <w:p w:rsidR="00F077D1" w:rsidRDefault="00F077D1" w:rsidP="00F077D1">
      <w:pPr>
        <w:shd w:val="clear" w:color="auto" w:fill="FFFFFF"/>
        <w:tabs>
          <w:tab w:val="left" w:pos="1276"/>
        </w:tabs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2"/>
        <w:gridCol w:w="5913"/>
        <w:gridCol w:w="1211"/>
      </w:tblGrid>
      <w:tr w:rsidR="00F077D1" w:rsidTr="00F077D1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Moduļa nosaukums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Priekšmeta nosaukums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Apmācības stundu skaits</w:t>
            </w:r>
          </w:p>
        </w:tc>
      </w:tr>
      <w:tr w:rsidR="00F077D1" w:rsidTr="00F077D1">
        <w:trPr>
          <w:cantSplit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 xml:space="preserve">Vadītājs – uzņēmuma pārstāvis </w:t>
            </w: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(7 apmācības stundas)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Kravu pārvadājumu saimnieciskā nozīme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Vadītāja sabiedriskā ietekme uz uzņēmuma autoritāti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Vadītājs policijas kontroles situācijā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Vadītāja rīcība cīņā pret nelegālo imigrāciju un kravu zādzību mazināšanu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Vadītāja rīcība zaudējumu mazināšanā ceļu satiksmes negadījumā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Vadītājs un apdrošināšanas gadījuma regulēšanas principi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Vadītāja darba slodzes ietekme uz viņa veselību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 xml:space="preserve">Kinemātiskā ķēde – videi draudzīga braukšana </w:t>
            </w: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(7 apmācības stundas)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Informācija par kravas transportlīdzekļu tehniku un tās iespējām to izmantošanai optimālam degvielas patēriņam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Enerģija un dabas aizsardzība, informācija par ekonomisku, enerģiju taupošu un dabai draudzīgu braukšanas stilu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Pretestības spēku iedarbes pārvarēšana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TA – saimnieciskums un videi draudzīga attieksme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Eko braukšanas nosacījumi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Izplūdes gāzu apstrāde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Alternatīvās degvielas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 xml:space="preserve">Darba un atpūtas laiki un tiesību akti, digitālais </w:t>
            </w:r>
            <w:proofErr w:type="spellStart"/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tahogrāfs</w:t>
            </w:r>
            <w:proofErr w:type="spellEnd"/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 xml:space="preserve"> (7 apmācības stundas)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Autotransporta sociālā vide un to reglamentējošie normatīvie akti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Darba un atpūtas laiki, to kontrole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 xml:space="preserve">Otrās paaudzes digitālie </w:t>
            </w:r>
            <w:proofErr w:type="spellStart"/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tahogrāfi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Manuālā datu ievade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Braukšanas ar prāmjiem reģistrēšana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Vairāku ekipāžas locekļu darbs, transportlīdzekļa vadīšanas pārņemšana ceļā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Muitas prasības vadītājam, maksas ceļi un robežu šķērsošana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Kravas izvietošana un nostiprināšana (7 apmācības stundas)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Normatīvie akti un atbildība kravu pārvadājumos ceļu satiksmē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Spēki kravu pārvadāšanā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Transportlīdzekļu kravas telpa, kravas izvietošanas plāns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Kravu nostiprināšanas līdzekļi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Kravu nostiprināšanas veidi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Aprēķini kravu nostiprināšanai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Dažādu kravu veidu nostiprināšanas paņēmieni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F077D1" w:rsidRDefault="00F077D1" w:rsidP="00F077D1">
      <w:pPr>
        <w:shd w:val="clear" w:color="auto" w:fill="FFFFFF"/>
        <w:tabs>
          <w:tab w:val="left" w:pos="1276"/>
        </w:tabs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2"/>
        <w:gridCol w:w="5913"/>
        <w:gridCol w:w="1211"/>
      </w:tblGrid>
      <w:tr w:rsidR="00F077D1" w:rsidRPr="00F077D1" w:rsidTr="00F077D1">
        <w:trPr>
          <w:cantSplit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lastRenderedPageBreak/>
              <w:t>Drošības tehnika, pasākumi un satiksmes drošība (7 apmācības stundas)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Prasības satiksmes drošībai starptautiskos kravu pārvadājumos un braukšana tuneļos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Bīstamās situācijas autovadītāja ikdienas darbā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Iespēja identificēt iepriekšējo bīstamību un izvairīties no bīstamām situācijām ceļu satiksmē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Transportlīdzekļa iekšējās, ārējās un kravas telemātikas sistēmas, to darbības principi un vadība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Vadītāja rīcība pēc ceļu satiksmes negadījuma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RP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ADR kravu pārvadājumi, kravu pārvadājumi cisternās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Darba drošība ar maināmām kravas telpām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F077D1" w:rsidTr="00F077D1">
        <w:trPr>
          <w:cantSplit/>
        </w:trPr>
        <w:tc>
          <w:tcPr>
            <w:tcW w:w="8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jc w:val="right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Kopā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77D1" w:rsidRDefault="00F077D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t>35</w:t>
            </w:r>
          </w:p>
        </w:tc>
      </w:tr>
    </w:tbl>
    <w:p w:rsidR="00F077D1" w:rsidRDefault="00F077D1" w:rsidP="00F077D1">
      <w:pPr>
        <w:shd w:val="clear" w:color="auto" w:fill="FFFFFF"/>
        <w:tabs>
          <w:tab w:val="left" w:pos="1276"/>
        </w:tabs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B77160" w:rsidRDefault="00B77160"/>
    <w:sectPr w:rsidR="00B7716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D1"/>
    <w:rsid w:val="00B77160"/>
    <w:rsid w:val="00F0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7D1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7D1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1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2016-07-11T10:58:00Z</dcterms:created>
  <dcterms:modified xsi:type="dcterms:W3CDTF">2016-07-11T10:59:00Z</dcterms:modified>
</cp:coreProperties>
</file>