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752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25. oktobrī (prot. Nr. 54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Izglītības un zinātnes ministrijai finansējumu 35 856 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</w:t>
      </w:r>
      <w:r w:rsidR="00000000" w:rsidRPr="00000000" w:rsidDel="00000000">
        <w:rPr>
          <w:i w:val="1"/>
          <w:rtl w:val="0"/>
        </w:rPr>
        <w:t xml:space="preserve"> </w:t>
      </w:r>
      <w:r w:rsidR="00000000" w:rsidRPr="00000000" w:rsidDel="00000000">
        <w:rPr>
          <w:rtl w:val="0"/>
        </w:rPr>
        <w:t xml:space="preserve">atbalsta pasākumu īstenošanai izglītības iestādēm un pedagogiem 2022. gadā, lai nodrošinātu pāreju uz mācībām valsts valodā.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Muižniece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22-TA-2544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22-TA-2544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rīkojuma_projekts_22-TA-2544.docx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