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Rātsupītes ielā 5A,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un Meža likuma 44. panta ceturtās daļas 5. punktu atļaut valsts akciju sabiedrībai "Valsts nekustamie īpašumi" pārdot izsolē valstij piederošo nekustamo īpašumu (nekustamā īpašuma kadastra Nr. 0100 104 2042) – zemes vienību (zemes vienības kadastra apzīmējums 0100 104 0240) 0,8421 ha platībā, tai skaitā meža zemi 0,4 ha platībā, un trīs būves (būvju kadastra apzīmējumi 0100 104 0009 005, 0100 104 0009 012 un 0100 104 0009 013) – Rātsupītes ielā 5A, Rīgā,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nekustamo īpašumu 30 dienu laikā no pirkuma līguma noslēgšanas dienas, sastādot attiecīgu pieņemšanas un nodošanas aktu.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25-TA-1786</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25-TA-1786</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rīkojuma_konsolidētā_versija_25-TA-1786.docx</dc:title>
</cp:coreProperties>
</file>

<file path=docProps/custom.xml><?xml version="1.0" encoding="utf-8"?>
<Properties xmlns="http://schemas.openxmlformats.org/officeDocument/2006/custom-properties" xmlns:vt="http://schemas.openxmlformats.org/officeDocument/2006/docPropsVTypes"/>
</file>