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par blakus sūdzībām lietās Nr.A420253321, A420262721, A420265721, A420256421, A420253221, A420253821, A420256821, A420253721, A420251021, A420254921, A420258421, A420257421, A420251921, A420255021, A420265521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apgabaltiesai lietās Nr.A420253321, A420262721, A420265721, A420256421, A420253221, A420253821, A420256821, A420253721, A420251021, A420254921, A420258421, A420257421, A420251921, A420255021, A420265521.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apgabaltiesai.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21-TA-1751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