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D00B7" w14:textId="3A842435" w:rsidR="00CF5E67" w:rsidRPr="004C576C" w:rsidRDefault="00CF5E67" w:rsidP="00CF5E67">
      <w:pPr>
        <w:pStyle w:val="NoSpacing"/>
        <w:spacing w:after="120"/>
        <w:jc w:val="center"/>
        <w:rPr>
          <w:rFonts w:ascii="Times New Roman" w:hAnsi="Times New Roman"/>
          <w:b/>
          <w:sz w:val="28"/>
          <w:szCs w:val="28"/>
          <w:lang w:val="lv-LV"/>
        </w:rPr>
      </w:pPr>
      <w:r w:rsidRPr="004C576C">
        <w:rPr>
          <w:rFonts w:ascii="Times New Roman" w:hAnsi="Times New Roman"/>
          <w:b/>
          <w:sz w:val="28"/>
          <w:szCs w:val="28"/>
          <w:lang w:val="lv-LV"/>
        </w:rPr>
        <w:t xml:space="preserve">Atsauces dokuments par </w:t>
      </w:r>
      <w:r>
        <w:rPr>
          <w:rFonts w:ascii="Times New Roman" w:hAnsi="Times New Roman"/>
          <w:b/>
          <w:sz w:val="28"/>
          <w:szCs w:val="28"/>
          <w:lang w:val="lv-LV"/>
        </w:rPr>
        <w:t>“</w:t>
      </w:r>
      <w:r w:rsidRPr="004C576C">
        <w:rPr>
          <w:rFonts w:ascii="Times New Roman" w:hAnsi="Times New Roman"/>
          <w:b/>
          <w:sz w:val="28"/>
          <w:szCs w:val="28"/>
          <w:lang w:val="lv-LV"/>
        </w:rPr>
        <w:t xml:space="preserve">ESPON </w:t>
      </w:r>
      <w:r>
        <w:rPr>
          <w:rFonts w:ascii="Times New Roman" w:hAnsi="Times New Roman"/>
          <w:b/>
          <w:sz w:val="28"/>
          <w:szCs w:val="28"/>
          <w:lang w:val="lv-LV"/>
        </w:rPr>
        <w:t xml:space="preserve">2030” </w:t>
      </w:r>
      <w:proofErr w:type="spellStart"/>
      <w:r w:rsidR="0038629F">
        <w:rPr>
          <w:rFonts w:ascii="Times New Roman" w:hAnsi="Times New Roman"/>
          <w:b/>
          <w:sz w:val="28"/>
          <w:szCs w:val="28"/>
          <w:lang w:val="lv-LV"/>
        </w:rPr>
        <w:t>starpreģionu</w:t>
      </w:r>
      <w:proofErr w:type="spellEnd"/>
      <w:r w:rsidR="0038629F">
        <w:rPr>
          <w:rFonts w:ascii="Times New Roman" w:hAnsi="Times New Roman"/>
          <w:b/>
          <w:sz w:val="28"/>
          <w:szCs w:val="28"/>
          <w:lang w:val="lv-LV"/>
        </w:rPr>
        <w:t xml:space="preserve"> sadarbības </w:t>
      </w:r>
      <w:r>
        <w:rPr>
          <w:rFonts w:ascii="Times New Roman" w:hAnsi="Times New Roman"/>
          <w:b/>
          <w:sz w:val="28"/>
          <w:szCs w:val="28"/>
          <w:lang w:val="lv-LV"/>
        </w:rPr>
        <w:t>programmas ESPON ETSG</w:t>
      </w:r>
      <w:r w:rsidRPr="004C576C">
        <w:rPr>
          <w:rFonts w:ascii="Times New Roman" w:hAnsi="Times New Roman"/>
          <w:b/>
          <w:sz w:val="28"/>
          <w:szCs w:val="28"/>
          <w:lang w:val="lv-LV"/>
        </w:rPr>
        <w:t xml:space="preserve"> Riska atbildības mehānismu</w:t>
      </w:r>
    </w:p>
    <w:p w14:paraId="16E124E8" w14:textId="77777777" w:rsidR="00CF5E67" w:rsidRPr="004C576C" w:rsidRDefault="00CF5E67" w:rsidP="00CF5E67">
      <w:pPr>
        <w:pStyle w:val="NoSpacing"/>
        <w:spacing w:after="120"/>
        <w:jc w:val="center"/>
        <w:rPr>
          <w:rFonts w:ascii="Times New Roman" w:hAnsi="Times New Roman"/>
          <w:b/>
          <w:i/>
          <w:szCs w:val="24"/>
          <w:lang w:val="lv-LV"/>
        </w:rPr>
      </w:pPr>
    </w:p>
    <w:p w14:paraId="56518324" w14:textId="77777777"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Ievērojot </w:t>
      </w:r>
    </w:p>
    <w:p w14:paraId="1020D206" w14:textId="04C8455E" w:rsidR="00CF5E67" w:rsidRPr="004C576C" w:rsidRDefault="00CF5E67" w:rsidP="00CF5E67">
      <w:pPr>
        <w:numPr>
          <w:ilvl w:val="0"/>
          <w:numId w:val="6"/>
        </w:numPr>
        <w:spacing w:after="120" w:line="240" w:lineRule="auto"/>
        <w:jc w:val="both"/>
        <w:rPr>
          <w:rFonts w:ascii="Times New Roman" w:hAnsi="Times New Roman"/>
          <w:sz w:val="24"/>
          <w:szCs w:val="24"/>
          <w:lang w:val="lv-LV"/>
        </w:rPr>
      </w:pPr>
      <w:bookmarkStart w:id="0" w:name="http://eur-lex.europa.eu/legal-content/A"/>
      <w:r w:rsidRPr="004C576C">
        <w:rPr>
          <w:rFonts w:ascii="Times New Roman" w:hAnsi="Times New Roman"/>
          <w:sz w:val="24"/>
          <w:szCs w:val="24"/>
          <w:lang w:val="lv-LV"/>
        </w:rPr>
        <w:t xml:space="preserve">EIROPAS PARLAMENTA UN PADOMES </w:t>
      </w:r>
      <w:r>
        <w:rPr>
          <w:rFonts w:ascii="Times New Roman" w:hAnsi="Times New Roman"/>
          <w:sz w:val="24"/>
          <w:szCs w:val="24"/>
          <w:lang w:val="lv-LV"/>
        </w:rPr>
        <w:t xml:space="preserve">2021.gada 24.jūnija </w:t>
      </w:r>
      <w:r w:rsidRPr="004C576C">
        <w:rPr>
          <w:rFonts w:ascii="Times New Roman" w:hAnsi="Times New Roman"/>
          <w:sz w:val="24"/>
          <w:szCs w:val="24"/>
          <w:lang w:val="lv-LV"/>
        </w:rPr>
        <w:t>REGULU (ES) Nr. </w:t>
      </w:r>
      <w:r>
        <w:rPr>
          <w:rFonts w:ascii="Times New Roman" w:hAnsi="Times New Roman"/>
          <w:sz w:val="24"/>
          <w:szCs w:val="24"/>
          <w:lang w:val="lv-LV"/>
        </w:rPr>
        <w:t>2021/1060</w:t>
      </w:r>
      <w:r w:rsidRPr="004C576C">
        <w:rPr>
          <w:rFonts w:ascii="Times New Roman" w:hAnsi="Times New Roman"/>
          <w:sz w:val="24"/>
          <w:szCs w:val="24"/>
          <w:lang w:val="lv-LV"/>
        </w:rPr>
        <w:t>, ar ko paredz kopīgus noteikumus par Eiropas Reģionālās attīstības fondu, Eiropas Sociālo fondu</w:t>
      </w:r>
      <w:r w:rsidR="00692D0B">
        <w:rPr>
          <w:rFonts w:ascii="Times New Roman" w:hAnsi="Times New Roman"/>
          <w:sz w:val="24"/>
          <w:szCs w:val="24"/>
          <w:lang w:val="lv-LV"/>
        </w:rPr>
        <w:t xml:space="preserve"> </w:t>
      </w:r>
      <w:r w:rsidRPr="00B46688">
        <w:rPr>
          <w:rFonts w:ascii="Times New Roman" w:hAnsi="Times New Roman"/>
          <w:sz w:val="24"/>
          <w:szCs w:val="24"/>
          <w:lang w:val="lv-LV"/>
        </w:rPr>
        <w:t>Plus, Kohēzijas fondu, Eiropas  Taisnīgas pārkārtošanās fondu un Eiropas Jūrlietu un zivsaimniecības fondu un finansiālos noteikumus par šiem fondiem, kā arī par Patvēruma, migrācijas un integrācijas fondu, Iekšējās drošības fondu un finansiāla atbalsta instrumentu robežu pārvaldībai un vīzu politikai</w:t>
      </w:r>
      <w:bookmarkEnd w:id="0"/>
      <w:r w:rsidRPr="004C576C">
        <w:rPr>
          <w:rFonts w:ascii="Times New Roman" w:hAnsi="Times New Roman"/>
          <w:sz w:val="24"/>
          <w:szCs w:val="24"/>
          <w:lang w:val="lv-LV"/>
        </w:rPr>
        <w:t xml:space="preserve"> (turpmāk − KNR),</w:t>
      </w:r>
    </w:p>
    <w:p w14:paraId="5625F0C4" w14:textId="77777777" w:rsidR="00CF5E67" w:rsidRPr="004C576C" w:rsidRDefault="00CF5E67" w:rsidP="00CF5E67">
      <w:pPr>
        <w:numPr>
          <w:ilvl w:val="0"/>
          <w:numId w:val="6"/>
        </w:numPr>
        <w:spacing w:after="120" w:line="240" w:lineRule="auto"/>
        <w:jc w:val="both"/>
        <w:rPr>
          <w:rFonts w:ascii="Times New Roman" w:hAnsi="Times New Roman"/>
          <w:sz w:val="24"/>
          <w:szCs w:val="24"/>
          <w:lang w:val="lv-LV"/>
        </w:rPr>
      </w:pPr>
      <w:r w:rsidRPr="004C576C">
        <w:rPr>
          <w:rFonts w:ascii="Times New Roman" w:hAnsi="Times New Roman"/>
          <w:sz w:val="24"/>
          <w:szCs w:val="24"/>
          <w:lang w:val="lv-LV"/>
        </w:rPr>
        <w:t xml:space="preserve">EIROPAS PARLAMENTA UN PADOMES </w:t>
      </w:r>
      <w:r>
        <w:rPr>
          <w:rFonts w:ascii="Times New Roman" w:hAnsi="Times New Roman"/>
          <w:sz w:val="24"/>
          <w:szCs w:val="24"/>
          <w:lang w:val="lv-LV"/>
        </w:rPr>
        <w:t xml:space="preserve">2021.gada 24.jūnija </w:t>
      </w:r>
      <w:r w:rsidRPr="004C576C">
        <w:rPr>
          <w:rFonts w:ascii="Times New Roman" w:hAnsi="Times New Roman"/>
          <w:sz w:val="24"/>
          <w:szCs w:val="24"/>
          <w:lang w:val="lv-LV"/>
        </w:rPr>
        <w:t>REGULU (ES) Nr. </w:t>
      </w:r>
      <w:r>
        <w:rPr>
          <w:rFonts w:ascii="Times New Roman" w:hAnsi="Times New Roman"/>
          <w:sz w:val="24"/>
          <w:szCs w:val="24"/>
          <w:lang w:val="lv-LV"/>
        </w:rPr>
        <w:t>2021/1058</w:t>
      </w:r>
      <w:r w:rsidRPr="004C576C">
        <w:rPr>
          <w:rFonts w:ascii="Times New Roman" w:hAnsi="Times New Roman"/>
          <w:sz w:val="24"/>
          <w:szCs w:val="24"/>
          <w:lang w:val="lv-LV"/>
        </w:rPr>
        <w:t xml:space="preserve"> par Eiropas Reģionālās attīstības fondu un </w:t>
      </w:r>
      <w:r>
        <w:rPr>
          <w:rFonts w:ascii="Times New Roman" w:hAnsi="Times New Roman"/>
          <w:sz w:val="24"/>
          <w:szCs w:val="24"/>
          <w:lang w:val="lv-LV"/>
        </w:rPr>
        <w:t xml:space="preserve">Kohēzijas fondu </w:t>
      </w:r>
      <w:r w:rsidRPr="004C576C">
        <w:rPr>
          <w:rFonts w:ascii="Times New Roman" w:hAnsi="Times New Roman"/>
          <w:sz w:val="24"/>
          <w:szCs w:val="24"/>
          <w:lang w:val="lv-LV"/>
        </w:rPr>
        <w:t xml:space="preserve">(turpmāk − ERAF Regula), </w:t>
      </w:r>
    </w:p>
    <w:p w14:paraId="08927F13" w14:textId="77777777" w:rsidR="00CF5E67" w:rsidRPr="004C576C" w:rsidRDefault="00CF5E67" w:rsidP="00CF5E67">
      <w:pPr>
        <w:numPr>
          <w:ilvl w:val="0"/>
          <w:numId w:val="6"/>
        </w:numPr>
        <w:spacing w:after="120" w:line="240" w:lineRule="auto"/>
        <w:jc w:val="both"/>
        <w:rPr>
          <w:rFonts w:ascii="Times New Roman" w:hAnsi="Times New Roman"/>
          <w:sz w:val="24"/>
          <w:szCs w:val="24"/>
          <w:lang w:val="lv-LV"/>
        </w:rPr>
      </w:pPr>
      <w:r w:rsidRPr="004C576C">
        <w:rPr>
          <w:rFonts w:ascii="Times New Roman" w:hAnsi="Times New Roman"/>
          <w:sz w:val="24"/>
          <w:szCs w:val="24"/>
          <w:lang w:val="lv-LV"/>
        </w:rPr>
        <w:t xml:space="preserve">EIROPAS PARLAMENTA UN PADOMES </w:t>
      </w:r>
      <w:r>
        <w:rPr>
          <w:rFonts w:ascii="Times New Roman" w:hAnsi="Times New Roman"/>
          <w:sz w:val="24"/>
          <w:szCs w:val="24"/>
          <w:lang w:val="lv-LV"/>
        </w:rPr>
        <w:t xml:space="preserve">2021.gada 24.jūnija </w:t>
      </w:r>
      <w:r w:rsidRPr="004C576C">
        <w:rPr>
          <w:rFonts w:ascii="Times New Roman" w:hAnsi="Times New Roman"/>
          <w:sz w:val="24"/>
          <w:szCs w:val="24"/>
          <w:lang w:val="lv-LV"/>
        </w:rPr>
        <w:t>REGULU (ES) Nr. </w:t>
      </w:r>
      <w:r>
        <w:rPr>
          <w:rFonts w:ascii="Times New Roman" w:hAnsi="Times New Roman"/>
          <w:sz w:val="24"/>
          <w:szCs w:val="24"/>
          <w:lang w:val="lv-LV"/>
        </w:rPr>
        <w:t>2021/1059</w:t>
      </w:r>
      <w:r w:rsidRPr="004C576C">
        <w:rPr>
          <w:rFonts w:ascii="Times New Roman" w:hAnsi="Times New Roman"/>
          <w:sz w:val="24"/>
          <w:szCs w:val="24"/>
          <w:lang w:val="lv-LV"/>
        </w:rPr>
        <w:t xml:space="preserve"> par īpašiem noteikumiem par atbalstu no Eiropas Reģionālās attīstības fonda </w:t>
      </w:r>
      <w:r w:rsidRPr="00B46688">
        <w:rPr>
          <w:rFonts w:ascii="Times New Roman" w:hAnsi="Times New Roman"/>
          <w:sz w:val="24"/>
          <w:szCs w:val="24"/>
          <w:lang w:val="lv-LV"/>
        </w:rPr>
        <w:t xml:space="preserve">kā arī ārējiem finanšu atbalsta instrumentiem saistībā ar mērķi „Eiropas teritoriālā sadarbība” (Interreg) </w:t>
      </w:r>
      <w:r w:rsidRPr="004C576C">
        <w:rPr>
          <w:rFonts w:ascii="Times New Roman" w:hAnsi="Times New Roman"/>
          <w:sz w:val="24"/>
          <w:szCs w:val="24"/>
          <w:lang w:val="lv-LV"/>
        </w:rPr>
        <w:t xml:space="preserve"> (turpmāk − ETS),</w:t>
      </w:r>
    </w:p>
    <w:p w14:paraId="7721B6A5" w14:textId="77777777" w:rsidR="00CF5E67" w:rsidRPr="004C576C" w:rsidRDefault="00CF5E67" w:rsidP="00CF5E67">
      <w:pPr>
        <w:numPr>
          <w:ilvl w:val="0"/>
          <w:numId w:val="6"/>
        </w:numPr>
        <w:autoSpaceDE w:val="0"/>
        <w:autoSpaceDN w:val="0"/>
        <w:adjustRightInd w:val="0"/>
        <w:spacing w:after="120" w:line="240" w:lineRule="auto"/>
        <w:jc w:val="both"/>
        <w:rPr>
          <w:rFonts w:ascii="Times New Roman" w:hAnsi="Times New Roman"/>
          <w:bCs/>
          <w:sz w:val="24"/>
          <w:szCs w:val="24"/>
          <w:lang w:val="lv-LV"/>
        </w:rPr>
      </w:pPr>
      <w:r w:rsidRPr="004C576C">
        <w:rPr>
          <w:rFonts w:ascii="Times New Roman" w:hAnsi="Times New Roman"/>
          <w:sz w:val="24"/>
          <w:szCs w:val="24"/>
          <w:lang w:val="lv-LV"/>
        </w:rPr>
        <w:t xml:space="preserve">EIROPAS PARLAMENTA UN PADOMES REGULU (EK) Nr. 1082/2006 (2006. gada 5. jūlijs) par Eiropas teritoriālās sadarbības grupu, kas grozīta ar 2013. gada 17. decembra Eiropas Parlamenta un Padomes Regulu (ES) Nr. 1302/2013 (turpmāk − ETSG Regula), </w:t>
      </w:r>
    </w:p>
    <w:p w14:paraId="6368C15D" w14:textId="4FCDD55A" w:rsidR="00CF5E67" w:rsidRPr="004C576C" w:rsidRDefault="00520031" w:rsidP="00CF5E67">
      <w:pPr>
        <w:numPr>
          <w:ilvl w:val="0"/>
          <w:numId w:val="6"/>
        </w:numPr>
        <w:autoSpaceDE w:val="0"/>
        <w:autoSpaceDN w:val="0"/>
        <w:adjustRightInd w:val="0"/>
        <w:spacing w:after="120" w:line="240" w:lineRule="auto"/>
        <w:jc w:val="both"/>
        <w:rPr>
          <w:rFonts w:ascii="Times New Roman" w:hAnsi="Times New Roman"/>
          <w:bCs/>
          <w:sz w:val="24"/>
          <w:szCs w:val="24"/>
          <w:lang w:val="lv-LV"/>
        </w:rPr>
      </w:pPr>
      <w:r w:rsidRPr="00156000">
        <w:rPr>
          <w:rFonts w:ascii="Times New Roman" w:hAnsi="Times New Roman"/>
          <w:bCs/>
          <w:sz w:val="24"/>
          <w:szCs w:val="24"/>
          <w:lang w:val="lv-LV"/>
        </w:rPr>
        <w:t>Luksemburgas 2009. gada 19. maija likums</w:t>
      </w:r>
      <w:r>
        <w:rPr>
          <w:rFonts w:ascii="Times New Roman" w:hAnsi="Times New Roman"/>
          <w:bCs/>
          <w:i/>
          <w:sz w:val="24"/>
          <w:szCs w:val="24"/>
          <w:lang w:val="lv-LV"/>
        </w:rPr>
        <w:t xml:space="preserve"> “</w:t>
      </w:r>
      <w:r w:rsidR="00CF5E67" w:rsidRPr="004C576C">
        <w:rPr>
          <w:rFonts w:ascii="Times New Roman" w:hAnsi="Times New Roman"/>
          <w:bCs/>
          <w:i/>
          <w:sz w:val="24"/>
          <w:szCs w:val="24"/>
          <w:lang w:val="lv-LV"/>
        </w:rPr>
        <w:t>Grand–</w:t>
      </w:r>
      <w:proofErr w:type="spellStart"/>
      <w:r w:rsidR="00CF5E67" w:rsidRPr="004C576C">
        <w:rPr>
          <w:rFonts w:ascii="Times New Roman" w:hAnsi="Times New Roman"/>
          <w:bCs/>
          <w:i/>
          <w:sz w:val="24"/>
          <w:szCs w:val="24"/>
          <w:lang w:val="lv-LV"/>
        </w:rPr>
        <w:t>Duché</w:t>
      </w:r>
      <w:proofErr w:type="spellEnd"/>
      <w:r w:rsidR="00CF5E67" w:rsidRPr="004C576C">
        <w:rPr>
          <w:rFonts w:ascii="Times New Roman" w:hAnsi="Times New Roman"/>
          <w:bCs/>
          <w:i/>
          <w:sz w:val="24"/>
          <w:szCs w:val="24"/>
          <w:lang w:val="lv-LV"/>
        </w:rPr>
        <w:t xml:space="preserve"> </w:t>
      </w:r>
      <w:proofErr w:type="spellStart"/>
      <w:r w:rsidR="00CF5E67" w:rsidRPr="004C576C">
        <w:rPr>
          <w:rFonts w:ascii="Times New Roman" w:hAnsi="Times New Roman"/>
          <w:bCs/>
          <w:i/>
          <w:sz w:val="24"/>
          <w:szCs w:val="24"/>
          <w:lang w:val="lv-LV"/>
        </w:rPr>
        <w:t>de</w:t>
      </w:r>
      <w:proofErr w:type="spellEnd"/>
      <w:r w:rsidR="00CF5E67" w:rsidRPr="004C576C">
        <w:rPr>
          <w:rFonts w:ascii="Times New Roman" w:hAnsi="Times New Roman"/>
          <w:bCs/>
          <w:i/>
          <w:sz w:val="24"/>
          <w:szCs w:val="24"/>
          <w:lang w:val="lv-LV"/>
        </w:rPr>
        <w:t xml:space="preserve"> </w:t>
      </w:r>
      <w:proofErr w:type="spellStart"/>
      <w:r w:rsidR="00CF5E67" w:rsidRPr="004C576C">
        <w:rPr>
          <w:rFonts w:ascii="Times New Roman" w:hAnsi="Times New Roman"/>
          <w:bCs/>
          <w:i/>
          <w:sz w:val="24"/>
          <w:szCs w:val="24"/>
          <w:lang w:val="lv-LV"/>
        </w:rPr>
        <w:t>Luxembourg</w:t>
      </w:r>
      <w:proofErr w:type="spellEnd"/>
      <w:r w:rsidR="00CF5E67" w:rsidRPr="004C576C">
        <w:rPr>
          <w:rFonts w:ascii="Times New Roman" w:hAnsi="Times New Roman"/>
          <w:bCs/>
          <w:i/>
          <w:sz w:val="24"/>
          <w:szCs w:val="24"/>
          <w:lang w:val="lv-LV"/>
        </w:rPr>
        <w:t xml:space="preserve"> </w:t>
      </w:r>
      <w:r w:rsidR="00CF5E67" w:rsidRPr="004C576C">
        <w:rPr>
          <w:rFonts w:ascii="Times New Roman" w:hAnsi="Times New Roman"/>
          <w:bCs/>
          <w:i/>
          <w:sz w:val="24"/>
          <w:szCs w:val="24"/>
          <w:lang w:val="lv-LV"/>
        </w:rPr>
        <w:noBreakHyphen/>
        <w:t xml:space="preserve"> LOI DU 19 MAI 2009 </w:t>
      </w:r>
      <w:proofErr w:type="spellStart"/>
      <w:r w:rsidR="00CF5E67" w:rsidRPr="004C576C">
        <w:rPr>
          <w:rFonts w:ascii="Times New Roman" w:hAnsi="Times New Roman"/>
          <w:bCs/>
          <w:i/>
          <w:sz w:val="24"/>
          <w:szCs w:val="24"/>
          <w:lang w:val="lv-LV"/>
        </w:rPr>
        <w:t>portant</w:t>
      </w:r>
      <w:proofErr w:type="spellEnd"/>
      <w:r w:rsidR="00CF5E67" w:rsidRPr="004C576C">
        <w:rPr>
          <w:rFonts w:ascii="Times New Roman" w:hAnsi="Times New Roman"/>
          <w:bCs/>
          <w:i/>
          <w:sz w:val="24"/>
          <w:szCs w:val="24"/>
          <w:lang w:val="lv-LV"/>
        </w:rPr>
        <w:t xml:space="preserve"> </w:t>
      </w:r>
      <w:proofErr w:type="spellStart"/>
      <w:r w:rsidR="00CF5E67" w:rsidRPr="004C576C">
        <w:rPr>
          <w:rFonts w:ascii="Times New Roman" w:hAnsi="Times New Roman"/>
          <w:bCs/>
          <w:i/>
          <w:sz w:val="24"/>
          <w:szCs w:val="24"/>
          <w:lang w:val="lv-LV"/>
        </w:rPr>
        <w:t>diverses</w:t>
      </w:r>
      <w:proofErr w:type="spellEnd"/>
      <w:r w:rsidR="00CF5E67" w:rsidRPr="004C576C">
        <w:rPr>
          <w:rFonts w:ascii="Times New Roman" w:hAnsi="Times New Roman"/>
          <w:bCs/>
          <w:i/>
          <w:sz w:val="24"/>
          <w:szCs w:val="24"/>
          <w:lang w:val="lv-LV"/>
        </w:rPr>
        <w:t xml:space="preserve"> </w:t>
      </w:r>
      <w:proofErr w:type="spellStart"/>
      <w:r w:rsidR="00CF5E67" w:rsidRPr="004C576C">
        <w:rPr>
          <w:rFonts w:ascii="Times New Roman" w:hAnsi="Times New Roman"/>
          <w:bCs/>
          <w:i/>
          <w:sz w:val="24"/>
          <w:szCs w:val="24"/>
          <w:lang w:val="lv-LV"/>
        </w:rPr>
        <w:t>mesures</w:t>
      </w:r>
      <w:proofErr w:type="spellEnd"/>
      <w:r w:rsidR="00CF5E67" w:rsidRPr="004C576C">
        <w:rPr>
          <w:rFonts w:ascii="Times New Roman" w:hAnsi="Times New Roman"/>
          <w:bCs/>
          <w:i/>
          <w:sz w:val="24"/>
          <w:szCs w:val="24"/>
          <w:lang w:val="lv-LV"/>
        </w:rPr>
        <w:t xml:space="preserve"> </w:t>
      </w:r>
      <w:proofErr w:type="spellStart"/>
      <w:r w:rsidR="00CF5E67" w:rsidRPr="004C576C">
        <w:rPr>
          <w:rFonts w:ascii="Times New Roman" w:hAnsi="Times New Roman"/>
          <w:bCs/>
          <w:i/>
          <w:sz w:val="24"/>
          <w:szCs w:val="24"/>
          <w:lang w:val="lv-LV"/>
        </w:rPr>
        <w:t>d’application</w:t>
      </w:r>
      <w:proofErr w:type="spellEnd"/>
      <w:r w:rsidR="00CF5E67" w:rsidRPr="004C576C">
        <w:rPr>
          <w:rFonts w:ascii="Times New Roman" w:hAnsi="Times New Roman"/>
          <w:bCs/>
          <w:i/>
          <w:sz w:val="24"/>
          <w:szCs w:val="24"/>
          <w:lang w:val="lv-LV"/>
        </w:rPr>
        <w:t xml:space="preserve"> </w:t>
      </w:r>
      <w:proofErr w:type="spellStart"/>
      <w:r w:rsidR="00CF5E67" w:rsidRPr="004C576C">
        <w:rPr>
          <w:rFonts w:ascii="Times New Roman" w:hAnsi="Times New Roman"/>
          <w:bCs/>
          <w:i/>
          <w:sz w:val="24"/>
          <w:szCs w:val="24"/>
          <w:lang w:val="lv-LV"/>
        </w:rPr>
        <w:t>du</w:t>
      </w:r>
      <w:proofErr w:type="spellEnd"/>
      <w:r w:rsidR="00CF5E67" w:rsidRPr="004C576C">
        <w:rPr>
          <w:rFonts w:ascii="Times New Roman" w:hAnsi="Times New Roman"/>
          <w:bCs/>
          <w:i/>
          <w:sz w:val="24"/>
          <w:szCs w:val="24"/>
          <w:lang w:val="lv-LV"/>
        </w:rPr>
        <w:t xml:space="preserve"> </w:t>
      </w:r>
      <w:proofErr w:type="spellStart"/>
      <w:r w:rsidR="00CF5E67" w:rsidRPr="004C576C">
        <w:rPr>
          <w:rFonts w:ascii="Times New Roman" w:hAnsi="Times New Roman"/>
          <w:bCs/>
          <w:i/>
          <w:sz w:val="24"/>
          <w:szCs w:val="24"/>
          <w:lang w:val="lv-LV"/>
        </w:rPr>
        <w:t>règlement</w:t>
      </w:r>
      <w:proofErr w:type="spellEnd"/>
      <w:r w:rsidR="00CF5E67" w:rsidRPr="004C576C">
        <w:rPr>
          <w:rFonts w:ascii="Times New Roman" w:hAnsi="Times New Roman"/>
          <w:bCs/>
          <w:i/>
          <w:sz w:val="24"/>
          <w:szCs w:val="24"/>
          <w:lang w:val="lv-LV"/>
        </w:rPr>
        <w:t xml:space="preserve"> (CE) N°1082/2006 </w:t>
      </w:r>
      <w:proofErr w:type="spellStart"/>
      <w:r w:rsidR="00CF5E67" w:rsidRPr="004C576C">
        <w:rPr>
          <w:rFonts w:ascii="Times New Roman" w:hAnsi="Times New Roman"/>
          <w:bCs/>
          <w:i/>
          <w:sz w:val="24"/>
          <w:szCs w:val="24"/>
          <w:lang w:val="lv-LV"/>
        </w:rPr>
        <w:t>du</w:t>
      </w:r>
      <w:proofErr w:type="spellEnd"/>
      <w:r w:rsidR="00CF5E67" w:rsidRPr="004C576C">
        <w:rPr>
          <w:rFonts w:ascii="Times New Roman" w:hAnsi="Times New Roman"/>
          <w:bCs/>
          <w:i/>
          <w:sz w:val="24"/>
          <w:szCs w:val="24"/>
          <w:lang w:val="lv-LV"/>
        </w:rPr>
        <w:t xml:space="preserve"> </w:t>
      </w:r>
      <w:proofErr w:type="spellStart"/>
      <w:r w:rsidR="00CF5E67" w:rsidRPr="004C576C">
        <w:rPr>
          <w:rFonts w:ascii="Times New Roman" w:hAnsi="Times New Roman"/>
          <w:bCs/>
          <w:i/>
          <w:sz w:val="24"/>
          <w:szCs w:val="24"/>
          <w:lang w:val="lv-LV"/>
        </w:rPr>
        <w:t>Parlement</w:t>
      </w:r>
      <w:proofErr w:type="spellEnd"/>
      <w:r w:rsidR="00CF5E67" w:rsidRPr="004C576C">
        <w:rPr>
          <w:rFonts w:ascii="Times New Roman" w:hAnsi="Times New Roman"/>
          <w:bCs/>
          <w:i/>
          <w:sz w:val="24"/>
          <w:szCs w:val="24"/>
          <w:lang w:val="lv-LV"/>
        </w:rPr>
        <w:t xml:space="preserve"> </w:t>
      </w:r>
      <w:proofErr w:type="spellStart"/>
      <w:r w:rsidR="00CF5E67" w:rsidRPr="004C576C">
        <w:rPr>
          <w:rFonts w:ascii="Times New Roman" w:hAnsi="Times New Roman"/>
          <w:bCs/>
          <w:i/>
          <w:sz w:val="24"/>
          <w:szCs w:val="24"/>
          <w:lang w:val="lv-LV"/>
        </w:rPr>
        <w:t>européen</w:t>
      </w:r>
      <w:proofErr w:type="spellEnd"/>
      <w:r w:rsidR="00CF5E67" w:rsidRPr="004C576C">
        <w:rPr>
          <w:rFonts w:ascii="Times New Roman" w:hAnsi="Times New Roman"/>
          <w:bCs/>
          <w:i/>
          <w:sz w:val="24"/>
          <w:szCs w:val="24"/>
          <w:lang w:val="lv-LV"/>
        </w:rPr>
        <w:t xml:space="preserve"> </w:t>
      </w:r>
      <w:proofErr w:type="spellStart"/>
      <w:r w:rsidR="00CF5E67" w:rsidRPr="004C576C">
        <w:rPr>
          <w:rFonts w:ascii="Times New Roman" w:hAnsi="Times New Roman"/>
          <w:bCs/>
          <w:i/>
          <w:sz w:val="24"/>
          <w:szCs w:val="24"/>
          <w:lang w:val="lv-LV"/>
        </w:rPr>
        <w:t>et</w:t>
      </w:r>
      <w:proofErr w:type="spellEnd"/>
      <w:r w:rsidR="00CF5E67" w:rsidRPr="004C576C">
        <w:rPr>
          <w:rFonts w:ascii="Times New Roman" w:hAnsi="Times New Roman"/>
          <w:bCs/>
          <w:i/>
          <w:sz w:val="24"/>
          <w:szCs w:val="24"/>
          <w:lang w:val="lv-LV"/>
        </w:rPr>
        <w:t xml:space="preserve"> </w:t>
      </w:r>
      <w:proofErr w:type="spellStart"/>
      <w:r w:rsidR="00CF5E67" w:rsidRPr="004C576C">
        <w:rPr>
          <w:rFonts w:ascii="Times New Roman" w:hAnsi="Times New Roman"/>
          <w:bCs/>
          <w:i/>
          <w:sz w:val="24"/>
          <w:szCs w:val="24"/>
          <w:lang w:val="lv-LV"/>
        </w:rPr>
        <w:t>du</w:t>
      </w:r>
      <w:proofErr w:type="spellEnd"/>
      <w:r w:rsidR="00CF5E67" w:rsidRPr="004C576C">
        <w:rPr>
          <w:rFonts w:ascii="Times New Roman" w:hAnsi="Times New Roman"/>
          <w:bCs/>
          <w:i/>
          <w:sz w:val="24"/>
          <w:szCs w:val="24"/>
          <w:lang w:val="lv-LV"/>
        </w:rPr>
        <w:t xml:space="preserve"> </w:t>
      </w:r>
      <w:proofErr w:type="spellStart"/>
      <w:r w:rsidR="00CF5E67" w:rsidRPr="004C576C">
        <w:rPr>
          <w:rFonts w:ascii="Times New Roman" w:hAnsi="Times New Roman"/>
          <w:bCs/>
          <w:i/>
          <w:sz w:val="24"/>
          <w:szCs w:val="24"/>
          <w:lang w:val="lv-LV"/>
        </w:rPr>
        <w:t>Conseil</w:t>
      </w:r>
      <w:proofErr w:type="spellEnd"/>
      <w:r w:rsidR="00CF5E67" w:rsidRPr="004C576C">
        <w:rPr>
          <w:rFonts w:ascii="Times New Roman" w:hAnsi="Times New Roman"/>
          <w:bCs/>
          <w:i/>
          <w:sz w:val="24"/>
          <w:szCs w:val="24"/>
          <w:lang w:val="lv-LV"/>
        </w:rPr>
        <w:t xml:space="preserve"> </w:t>
      </w:r>
      <w:proofErr w:type="spellStart"/>
      <w:r w:rsidR="00CF5E67" w:rsidRPr="004C576C">
        <w:rPr>
          <w:rFonts w:ascii="Times New Roman" w:hAnsi="Times New Roman"/>
          <w:bCs/>
          <w:i/>
          <w:sz w:val="24"/>
          <w:szCs w:val="24"/>
          <w:lang w:val="lv-LV"/>
        </w:rPr>
        <w:t>du</w:t>
      </w:r>
      <w:proofErr w:type="spellEnd"/>
      <w:r w:rsidR="00CF5E67" w:rsidRPr="004C576C">
        <w:rPr>
          <w:rFonts w:ascii="Times New Roman" w:hAnsi="Times New Roman"/>
          <w:bCs/>
          <w:i/>
          <w:sz w:val="24"/>
          <w:szCs w:val="24"/>
          <w:lang w:val="lv-LV"/>
        </w:rPr>
        <w:t xml:space="preserve"> 5 </w:t>
      </w:r>
      <w:proofErr w:type="spellStart"/>
      <w:r w:rsidR="00CF5E67" w:rsidRPr="004C576C">
        <w:rPr>
          <w:rFonts w:ascii="Times New Roman" w:hAnsi="Times New Roman"/>
          <w:bCs/>
          <w:i/>
          <w:sz w:val="24"/>
          <w:szCs w:val="24"/>
          <w:lang w:val="lv-LV"/>
        </w:rPr>
        <w:t>juillet</w:t>
      </w:r>
      <w:proofErr w:type="spellEnd"/>
      <w:r w:rsidR="00CF5E67" w:rsidRPr="004C576C">
        <w:rPr>
          <w:rFonts w:ascii="Times New Roman" w:hAnsi="Times New Roman"/>
          <w:bCs/>
          <w:i/>
          <w:sz w:val="24"/>
          <w:szCs w:val="24"/>
          <w:lang w:val="lv-LV"/>
        </w:rPr>
        <w:t xml:space="preserve"> 2006 </w:t>
      </w:r>
      <w:proofErr w:type="spellStart"/>
      <w:r w:rsidR="00CF5E67" w:rsidRPr="004C576C">
        <w:rPr>
          <w:rFonts w:ascii="Times New Roman" w:hAnsi="Times New Roman"/>
          <w:bCs/>
          <w:i/>
          <w:sz w:val="24"/>
          <w:szCs w:val="24"/>
          <w:lang w:val="lv-LV"/>
        </w:rPr>
        <w:t>relatif</w:t>
      </w:r>
      <w:proofErr w:type="spellEnd"/>
      <w:r w:rsidR="00CF5E67" w:rsidRPr="004C576C">
        <w:rPr>
          <w:rFonts w:ascii="Times New Roman" w:hAnsi="Times New Roman"/>
          <w:bCs/>
          <w:i/>
          <w:sz w:val="24"/>
          <w:szCs w:val="24"/>
          <w:lang w:val="lv-LV"/>
        </w:rPr>
        <w:t xml:space="preserve"> à un </w:t>
      </w:r>
      <w:proofErr w:type="spellStart"/>
      <w:r w:rsidR="00CF5E67" w:rsidRPr="004C576C">
        <w:rPr>
          <w:rFonts w:ascii="Times New Roman" w:hAnsi="Times New Roman"/>
          <w:bCs/>
          <w:i/>
          <w:sz w:val="24"/>
          <w:szCs w:val="24"/>
          <w:lang w:val="lv-LV"/>
        </w:rPr>
        <w:t>groupement</w:t>
      </w:r>
      <w:proofErr w:type="spellEnd"/>
      <w:r w:rsidR="00CF5E67" w:rsidRPr="004C576C">
        <w:rPr>
          <w:rFonts w:ascii="Times New Roman" w:hAnsi="Times New Roman"/>
          <w:bCs/>
          <w:i/>
          <w:sz w:val="24"/>
          <w:szCs w:val="24"/>
          <w:lang w:val="lv-LV"/>
        </w:rPr>
        <w:t xml:space="preserve"> </w:t>
      </w:r>
      <w:proofErr w:type="spellStart"/>
      <w:r w:rsidR="00CF5E67" w:rsidRPr="004C576C">
        <w:rPr>
          <w:rFonts w:ascii="Times New Roman" w:hAnsi="Times New Roman"/>
          <w:bCs/>
          <w:i/>
          <w:sz w:val="24"/>
          <w:szCs w:val="24"/>
          <w:lang w:val="lv-LV"/>
        </w:rPr>
        <w:t>européen</w:t>
      </w:r>
      <w:proofErr w:type="spellEnd"/>
      <w:r w:rsidR="00CF5E67" w:rsidRPr="004C576C">
        <w:rPr>
          <w:rFonts w:ascii="Times New Roman" w:hAnsi="Times New Roman"/>
          <w:bCs/>
          <w:i/>
          <w:sz w:val="24"/>
          <w:szCs w:val="24"/>
          <w:lang w:val="lv-LV"/>
        </w:rPr>
        <w:t xml:space="preserve"> </w:t>
      </w:r>
      <w:proofErr w:type="spellStart"/>
      <w:r w:rsidR="00CF5E67" w:rsidRPr="004C576C">
        <w:rPr>
          <w:rFonts w:ascii="Times New Roman" w:hAnsi="Times New Roman"/>
          <w:bCs/>
          <w:i/>
          <w:sz w:val="24"/>
          <w:szCs w:val="24"/>
          <w:lang w:val="lv-LV"/>
        </w:rPr>
        <w:t>de</w:t>
      </w:r>
      <w:proofErr w:type="spellEnd"/>
      <w:r w:rsidR="00CF5E67" w:rsidRPr="004C576C">
        <w:rPr>
          <w:rFonts w:ascii="Times New Roman" w:hAnsi="Times New Roman"/>
          <w:bCs/>
          <w:i/>
          <w:sz w:val="24"/>
          <w:szCs w:val="24"/>
          <w:lang w:val="lv-LV"/>
        </w:rPr>
        <w:t xml:space="preserve"> </w:t>
      </w:r>
      <w:proofErr w:type="spellStart"/>
      <w:r w:rsidR="00CF5E67" w:rsidRPr="004C576C">
        <w:rPr>
          <w:rFonts w:ascii="Times New Roman" w:hAnsi="Times New Roman"/>
          <w:bCs/>
          <w:i/>
          <w:sz w:val="24"/>
          <w:szCs w:val="24"/>
          <w:lang w:val="lv-LV"/>
        </w:rPr>
        <w:t>coopération</w:t>
      </w:r>
      <w:proofErr w:type="spellEnd"/>
      <w:r w:rsidR="00CF5E67" w:rsidRPr="004C576C">
        <w:rPr>
          <w:rFonts w:ascii="Times New Roman" w:hAnsi="Times New Roman"/>
          <w:bCs/>
          <w:i/>
          <w:sz w:val="24"/>
          <w:szCs w:val="24"/>
          <w:lang w:val="lv-LV"/>
        </w:rPr>
        <w:t xml:space="preserve"> </w:t>
      </w:r>
      <w:proofErr w:type="spellStart"/>
      <w:r w:rsidR="00CF5E67" w:rsidRPr="004C576C">
        <w:rPr>
          <w:rFonts w:ascii="Times New Roman" w:hAnsi="Times New Roman"/>
          <w:bCs/>
          <w:i/>
          <w:sz w:val="24"/>
          <w:szCs w:val="24"/>
          <w:lang w:val="lv-LV"/>
        </w:rPr>
        <w:t>territoriale</w:t>
      </w:r>
      <w:proofErr w:type="spellEnd"/>
      <w:r w:rsidR="00CF5E67" w:rsidRPr="004C576C">
        <w:rPr>
          <w:rFonts w:ascii="Times New Roman" w:hAnsi="Times New Roman"/>
          <w:bCs/>
          <w:i/>
          <w:sz w:val="24"/>
          <w:szCs w:val="24"/>
          <w:lang w:val="lv-LV"/>
        </w:rPr>
        <w:t xml:space="preserve"> (GECT)</w:t>
      </w:r>
      <w:r>
        <w:rPr>
          <w:rFonts w:ascii="Times New Roman" w:hAnsi="Times New Roman"/>
          <w:bCs/>
          <w:i/>
          <w:sz w:val="24"/>
          <w:szCs w:val="24"/>
          <w:lang w:val="lv-LV"/>
        </w:rPr>
        <w:t>”</w:t>
      </w:r>
      <w:r w:rsidR="00CF5E67" w:rsidRPr="004C576C">
        <w:rPr>
          <w:rFonts w:ascii="Times New Roman" w:hAnsi="Times New Roman"/>
          <w:bCs/>
          <w:sz w:val="24"/>
          <w:szCs w:val="24"/>
          <w:lang w:val="lv-LV"/>
        </w:rPr>
        <w:t xml:space="preserve"> – juridiskais pamats ETSG Luksemburgā,</w:t>
      </w:r>
    </w:p>
    <w:p w14:paraId="44CEFC81" w14:textId="2492CFAB"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2</w:t>
      </w:r>
      <w:r>
        <w:rPr>
          <w:rFonts w:ascii="Times New Roman" w:hAnsi="Times New Roman"/>
          <w:sz w:val="24"/>
          <w:szCs w:val="24"/>
          <w:lang w:val="lv-LV"/>
        </w:rPr>
        <w:t>7</w:t>
      </w:r>
      <w:r w:rsidRPr="004C576C">
        <w:rPr>
          <w:rFonts w:ascii="Times New Roman" w:hAnsi="Times New Roman"/>
          <w:sz w:val="24"/>
          <w:szCs w:val="24"/>
          <w:lang w:val="lv-LV"/>
        </w:rPr>
        <w:t> Eiropas Savienības dalībvalstis un 4 partnervalstis (</w:t>
      </w:r>
      <w:proofErr w:type="spellStart"/>
      <w:r w:rsidRPr="004C576C">
        <w:rPr>
          <w:rFonts w:ascii="Times New Roman" w:hAnsi="Times New Roman"/>
          <w:sz w:val="24"/>
          <w:szCs w:val="24"/>
          <w:lang w:val="lv-LV"/>
        </w:rPr>
        <w:t>Īslande</w:t>
      </w:r>
      <w:proofErr w:type="spellEnd"/>
      <w:r w:rsidRPr="004C576C">
        <w:rPr>
          <w:rFonts w:ascii="Times New Roman" w:hAnsi="Times New Roman"/>
          <w:sz w:val="24"/>
          <w:szCs w:val="24"/>
          <w:lang w:val="lv-LV"/>
        </w:rPr>
        <w:t xml:space="preserve">, Lihtenšteina, Norvēģija un Šveice) kopīgi sadarbojas </w:t>
      </w:r>
      <w:r>
        <w:rPr>
          <w:rFonts w:ascii="Times New Roman" w:hAnsi="Times New Roman"/>
          <w:sz w:val="24"/>
          <w:szCs w:val="24"/>
          <w:lang w:val="lv-LV"/>
        </w:rPr>
        <w:t>“</w:t>
      </w:r>
      <w:r w:rsidRPr="004C576C">
        <w:rPr>
          <w:rFonts w:ascii="Times New Roman" w:hAnsi="Times New Roman"/>
          <w:sz w:val="24"/>
          <w:szCs w:val="24"/>
          <w:lang w:val="lv-LV"/>
        </w:rPr>
        <w:t>ESPON 20</w:t>
      </w:r>
      <w:r>
        <w:rPr>
          <w:rFonts w:ascii="Times New Roman" w:hAnsi="Times New Roman"/>
          <w:sz w:val="24"/>
          <w:szCs w:val="24"/>
          <w:lang w:val="lv-LV"/>
        </w:rPr>
        <w:t>3</w:t>
      </w:r>
      <w:r w:rsidRPr="004C576C">
        <w:rPr>
          <w:rFonts w:ascii="Times New Roman" w:hAnsi="Times New Roman"/>
          <w:sz w:val="24"/>
          <w:szCs w:val="24"/>
          <w:lang w:val="lv-LV"/>
        </w:rPr>
        <w:t>0</w:t>
      </w:r>
      <w:r>
        <w:rPr>
          <w:rFonts w:ascii="Times New Roman" w:hAnsi="Times New Roman"/>
          <w:sz w:val="24"/>
          <w:szCs w:val="24"/>
          <w:lang w:val="lv-LV"/>
        </w:rPr>
        <w:t>”</w:t>
      </w:r>
      <w:r w:rsidRPr="004C576C">
        <w:rPr>
          <w:rFonts w:ascii="Times New Roman" w:hAnsi="Times New Roman"/>
          <w:sz w:val="24"/>
          <w:szCs w:val="24"/>
          <w:lang w:val="lv-LV"/>
        </w:rPr>
        <w:t xml:space="preserve"> </w:t>
      </w:r>
      <w:proofErr w:type="spellStart"/>
      <w:r w:rsidR="00F27A2F">
        <w:rPr>
          <w:rFonts w:ascii="Times New Roman" w:hAnsi="Times New Roman"/>
          <w:sz w:val="24"/>
          <w:szCs w:val="24"/>
          <w:lang w:val="lv-LV"/>
        </w:rPr>
        <w:t>starpre</w:t>
      </w:r>
      <w:r w:rsidR="001A1CF1">
        <w:rPr>
          <w:rFonts w:ascii="Times New Roman" w:hAnsi="Times New Roman"/>
          <w:sz w:val="24"/>
          <w:szCs w:val="24"/>
          <w:lang w:val="lv-LV"/>
        </w:rPr>
        <w:t>ģionu</w:t>
      </w:r>
      <w:proofErr w:type="spellEnd"/>
      <w:r w:rsidR="001A1CF1">
        <w:rPr>
          <w:rFonts w:ascii="Times New Roman" w:hAnsi="Times New Roman"/>
          <w:sz w:val="24"/>
          <w:szCs w:val="24"/>
          <w:lang w:val="lv-LV"/>
        </w:rPr>
        <w:t xml:space="preserve"> s</w:t>
      </w:r>
      <w:r w:rsidRPr="004C576C">
        <w:rPr>
          <w:rFonts w:ascii="Times New Roman" w:hAnsi="Times New Roman"/>
          <w:sz w:val="24"/>
          <w:szCs w:val="24"/>
          <w:lang w:val="lv-LV"/>
        </w:rPr>
        <w:t xml:space="preserve">adarbības programmā </w:t>
      </w:r>
      <w:r>
        <w:rPr>
          <w:rFonts w:ascii="Times New Roman" w:hAnsi="Times New Roman"/>
          <w:sz w:val="24"/>
          <w:szCs w:val="24"/>
          <w:lang w:val="lv-LV"/>
        </w:rPr>
        <w:t>2021.-2027.</w:t>
      </w:r>
      <w:r w:rsidRPr="004C576C">
        <w:rPr>
          <w:rFonts w:ascii="Times New Roman" w:hAnsi="Times New Roman"/>
          <w:sz w:val="24"/>
          <w:szCs w:val="24"/>
          <w:lang w:val="lv-LV"/>
        </w:rPr>
        <w:t>gad</w:t>
      </w:r>
      <w:r>
        <w:rPr>
          <w:rFonts w:ascii="Times New Roman" w:hAnsi="Times New Roman"/>
          <w:sz w:val="24"/>
          <w:szCs w:val="24"/>
          <w:lang w:val="lv-LV"/>
        </w:rPr>
        <w:t>a</w:t>
      </w:r>
      <w:r w:rsidRPr="004C576C">
        <w:rPr>
          <w:rFonts w:ascii="Times New Roman" w:hAnsi="Times New Roman"/>
          <w:sz w:val="24"/>
          <w:szCs w:val="24"/>
          <w:lang w:val="lv-LV"/>
        </w:rPr>
        <w:t xml:space="preserve">m (turpmāk </w:t>
      </w:r>
      <w:r>
        <w:rPr>
          <w:rFonts w:ascii="Times New Roman" w:hAnsi="Times New Roman"/>
          <w:sz w:val="24"/>
          <w:szCs w:val="24"/>
          <w:lang w:val="lv-LV"/>
        </w:rPr>
        <w:t>–</w:t>
      </w:r>
      <w:r w:rsidRPr="004C576C">
        <w:rPr>
          <w:rFonts w:ascii="Times New Roman" w:hAnsi="Times New Roman"/>
          <w:sz w:val="24"/>
          <w:szCs w:val="24"/>
          <w:lang w:val="lv-LV"/>
        </w:rPr>
        <w:t xml:space="preserve"> </w:t>
      </w:r>
      <w:r>
        <w:rPr>
          <w:rFonts w:ascii="Times New Roman" w:hAnsi="Times New Roman"/>
          <w:sz w:val="24"/>
          <w:szCs w:val="24"/>
          <w:lang w:val="lv-LV"/>
        </w:rPr>
        <w:t>“</w:t>
      </w:r>
      <w:r w:rsidRPr="004C576C">
        <w:rPr>
          <w:rFonts w:ascii="Times New Roman" w:hAnsi="Times New Roman"/>
          <w:sz w:val="24"/>
          <w:szCs w:val="24"/>
          <w:u w:val="single"/>
          <w:lang w:val="lv-LV"/>
        </w:rPr>
        <w:t>ESPON 20</w:t>
      </w:r>
      <w:r>
        <w:rPr>
          <w:rFonts w:ascii="Times New Roman" w:hAnsi="Times New Roman"/>
          <w:sz w:val="24"/>
          <w:szCs w:val="24"/>
          <w:u w:val="single"/>
          <w:lang w:val="lv-LV"/>
        </w:rPr>
        <w:t>3</w:t>
      </w:r>
      <w:r w:rsidRPr="004C576C">
        <w:rPr>
          <w:rFonts w:ascii="Times New Roman" w:hAnsi="Times New Roman"/>
          <w:sz w:val="24"/>
          <w:szCs w:val="24"/>
          <w:u w:val="single"/>
          <w:lang w:val="lv-LV"/>
        </w:rPr>
        <w:t>0</w:t>
      </w:r>
      <w:r>
        <w:rPr>
          <w:rFonts w:ascii="Times New Roman" w:hAnsi="Times New Roman"/>
          <w:sz w:val="24"/>
          <w:szCs w:val="24"/>
          <w:u w:val="single"/>
          <w:lang w:val="lv-LV"/>
        </w:rPr>
        <w:t>”</w:t>
      </w:r>
      <w:r w:rsidRPr="004C576C">
        <w:rPr>
          <w:rFonts w:ascii="Times New Roman" w:hAnsi="Times New Roman"/>
          <w:sz w:val="24"/>
          <w:szCs w:val="24"/>
          <w:u w:val="single"/>
          <w:lang w:val="lv-LV"/>
        </w:rPr>
        <w:t xml:space="preserve"> programma</w:t>
      </w:r>
      <w:r w:rsidRPr="004C576C">
        <w:rPr>
          <w:rFonts w:ascii="Times New Roman" w:hAnsi="Times New Roman"/>
          <w:sz w:val="24"/>
          <w:szCs w:val="24"/>
          <w:lang w:val="lv-LV"/>
        </w:rPr>
        <w:t>).</w:t>
      </w:r>
    </w:p>
    <w:p w14:paraId="53B9B408" w14:textId="045D5D79" w:rsidR="00CF5E67"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Atbilstoši ETS Regulas </w:t>
      </w:r>
      <w:r>
        <w:rPr>
          <w:rFonts w:ascii="Times New Roman" w:hAnsi="Times New Roman"/>
          <w:sz w:val="24"/>
          <w:szCs w:val="24"/>
          <w:lang w:val="lv-LV"/>
        </w:rPr>
        <w:t>17</w:t>
      </w:r>
      <w:r w:rsidRPr="004C576C">
        <w:rPr>
          <w:rFonts w:ascii="Times New Roman" w:hAnsi="Times New Roman"/>
          <w:sz w:val="24"/>
          <w:szCs w:val="24"/>
          <w:lang w:val="lv-LV"/>
        </w:rPr>
        <w:t xml:space="preserve">. panta </w:t>
      </w:r>
      <w:r>
        <w:rPr>
          <w:rFonts w:ascii="Times New Roman" w:hAnsi="Times New Roman"/>
          <w:sz w:val="24"/>
          <w:szCs w:val="24"/>
          <w:lang w:val="lv-LV"/>
        </w:rPr>
        <w:t>6.punkta c) apakšpunktam</w:t>
      </w:r>
      <w:r w:rsidRPr="004C576C">
        <w:rPr>
          <w:rFonts w:ascii="Times New Roman" w:hAnsi="Times New Roman"/>
          <w:sz w:val="24"/>
          <w:szCs w:val="24"/>
          <w:lang w:val="lv-LV"/>
        </w:rPr>
        <w:t xml:space="preserve"> un saskaņā ar </w:t>
      </w:r>
      <w:r w:rsidR="00B5165E">
        <w:rPr>
          <w:rFonts w:ascii="Times New Roman" w:hAnsi="Times New Roman"/>
          <w:sz w:val="24"/>
          <w:szCs w:val="24"/>
          <w:lang w:val="lv-LV"/>
        </w:rPr>
        <w:t>“</w:t>
      </w:r>
      <w:r w:rsidRPr="00FE07EA">
        <w:rPr>
          <w:rFonts w:ascii="Times New Roman" w:hAnsi="Times New Roman"/>
          <w:sz w:val="24"/>
          <w:szCs w:val="24"/>
          <w:lang w:val="lv-LV"/>
        </w:rPr>
        <w:t xml:space="preserve">Daudzpusējās vienošanās starp Luksemburgu un dalībvalstīm par „ESPON 2030” </w:t>
      </w:r>
      <w:proofErr w:type="spellStart"/>
      <w:r w:rsidR="009C48DA" w:rsidRPr="00FE07EA">
        <w:rPr>
          <w:rFonts w:ascii="Times New Roman" w:hAnsi="Times New Roman"/>
          <w:sz w:val="24"/>
          <w:szCs w:val="24"/>
          <w:lang w:val="lv-LV"/>
        </w:rPr>
        <w:t>starpreģionu</w:t>
      </w:r>
      <w:proofErr w:type="spellEnd"/>
      <w:r w:rsidR="009C48DA">
        <w:rPr>
          <w:rFonts w:ascii="Times New Roman" w:hAnsi="Times New Roman"/>
          <w:sz w:val="24"/>
          <w:szCs w:val="24"/>
          <w:lang w:val="lv-LV"/>
        </w:rPr>
        <w:t xml:space="preserve"> sadarbības pr</w:t>
      </w:r>
      <w:r w:rsidR="00FE07EA">
        <w:rPr>
          <w:rFonts w:ascii="Times New Roman" w:hAnsi="Times New Roman"/>
          <w:sz w:val="24"/>
          <w:szCs w:val="24"/>
          <w:lang w:val="lv-LV"/>
        </w:rPr>
        <w:t>ogrammu</w:t>
      </w:r>
      <w:r w:rsidR="00B5165E">
        <w:rPr>
          <w:rFonts w:ascii="Times New Roman" w:hAnsi="Times New Roman"/>
          <w:sz w:val="24"/>
          <w:szCs w:val="24"/>
          <w:lang w:val="lv-LV"/>
        </w:rPr>
        <w:t>”</w:t>
      </w:r>
      <w:r w:rsidR="00FE07EA">
        <w:rPr>
          <w:rFonts w:ascii="Times New Roman" w:hAnsi="Times New Roman"/>
          <w:sz w:val="24"/>
          <w:szCs w:val="24"/>
          <w:lang w:val="lv-LV"/>
        </w:rPr>
        <w:t xml:space="preserve"> </w:t>
      </w:r>
      <w:r w:rsidRPr="004C576C">
        <w:rPr>
          <w:rFonts w:ascii="Times New Roman" w:hAnsi="Times New Roman"/>
          <w:sz w:val="24"/>
          <w:szCs w:val="24"/>
          <w:lang w:val="lv-LV"/>
        </w:rPr>
        <w:t xml:space="preserve">(kuru paredzēts parakstīt pēc </w:t>
      </w:r>
      <w:r w:rsidR="00C731F5">
        <w:rPr>
          <w:rFonts w:ascii="Times New Roman" w:hAnsi="Times New Roman"/>
          <w:sz w:val="24"/>
          <w:szCs w:val="24"/>
          <w:lang w:val="lv-LV"/>
        </w:rPr>
        <w:t>“</w:t>
      </w:r>
      <w:r w:rsidRPr="004C576C">
        <w:rPr>
          <w:rFonts w:ascii="Times New Roman" w:hAnsi="Times New Roman"/>
          <w:sz w:val="24"/>
          <w:szCs w:val="24"/>
          <w:lang w:val="lv-LV"/>
        </w:rPr>
        <w:t>ESPON 20</w:t>
      </w:r>
      <w:r>
        <w:rPr>
          <w:rFonts w:ascii="Times New Roman" w:hAnsi="Times New Roman"/>
          <w:sz w:val="24"/>
          <w:szCs w:val="24"/>
          <w:lang w:val="lv-LV"/>
        </w:rPr>
        <w:t>3</w:t>
      </w:r>
      <w:r w:rsidRPr="004C576C">
        <w:rPr>
          <w:rFonts w:ascii="Times New Roman" w:hAnsi="Times New Roman"/>
          <w:sz w:val="24"/>
          <w:szCs w:val="24"/>
          <w:lang w:val="lv-LV"/>
        </w:rPr>
        <w:t>0</w:t>
      </w:r>
      <w:r w:rsidR="00C731F5">
        <w:rPr>
          <w:rFonts w:ascii="Times New Roman" w:hAnsi="Times New Roman"/>
          <w:sz w:val="24"/>
          <w:szCs w:val="24"/>
          <w:lang w:val="lv-LV"/>
        </w:rPr>
        <w:t>”</w:t>
      </w:r>
      <w:r w:rsidRPr="004C576C">
        <w:rPr>
          <w:rFonts w:ascii="Times New Roman" w:hAnsi="Times New Roman"/>
          <w:sz w:val="24"/>
          <w:szCs w:val="24"/>
          <w:lang w:val="lv-LV"/>
        </w:rPr>
        <w:t xml:space="preserve"> programmas apstiprināšanas</w:t>
      </w:r>
      <w:r w:rsidR="00FE07EA">
        <w:rPr>
          <w:rFonts w:ascii="Times New Roman" w:hAnsi="Times New Roman"/>
          <w:sz w:val="24"/>
          <w:szCs w:val="24"/>
          <w:lang w:val="lv-LV"/>
        </w:rPr>
        <w:t xml:space="preserve"> Eiropas Komisijā</w:t>
      </w:r>
      <w:r w:rsidRPr="004C576C">
        <w:rPr>
          <w:rFonts w:ascii="Times New Roman" w:hAnsi="Times New Roman"/>
          <w:sz w:val="24"/>
          <w:szCs w:val="24"/>
          <w:lang w:val="lv-LV"/>
        </w:rPr>
        <w:t xml:space="preserve">) </w:t>
      </w:r>
      <w:r>
        <w:rPr>
          <w:rFonts w:ascii="Times New Roman" w:hAnsi="Times New Roman"/>
          <w:sz w:val="24"/>
          <w:szCs w:val="24"/>
          <w:lang w:val="lv-LV"/>
        </w:rPr>
        <w:t>22. pantu</w:t>
      </w:r>
      <w:r w:rsidRPr="004C576C">
        <w:rPr>
          <w:rFonts w:ascii="Times New Roman" w:hAnsi="Times New Roman"/>
          <w:sz w:val="24"/>
          <w:szCs w:val="24"/>
          <w:lang w:val="lv-LV"/>
        </w:rPr>
        <w:t xml:space="preserve"> ir jāsniedz sīka informācija par veidu, kādā pienākumi tiek uzdoti iesaistītajām Eiropas Savienības dalībvalstīm un partnervalstīm.</w:t>
      </w:r>
    </w:p>
    <w:p w14:paraId="163C8893" w14:textId="77777777"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br w:type="page"/>
      </w:r>
    </w:p>
    <w:sdt>
      <w:sdtPr>
        <w:rPr>
          <w:rFonts w:ascii="Cambria" w:eastAsia="Times New Roman" w:hAnsi="Cambria" w:cs="Times New Roman"/>
          <w:color w:val="auto"/>
          <w:sz w:val="22"/>
          <w:szCs w:val="22"/>
          <w:lang w:val="de-DE"/>
        </w:rPr>
        <w:id w:val="-193458977"/>
        <w:docPartObj>
          <w:docPartGallery w:val="Table of Contents"/>
          <w:docPartUnique/>
        </w:docPartObj>
      </w:sdtPr>
      <w:sdtEndPr>
        <w:rPr>
          <w:b/>
          <w:bCs/>
          <w:noProof/>
        </w:rPr>
      </w:sdtEndPr>
      <w:sdtContent>
        <w:p w14:paraId="62FB4118" w14:textId="33A3B31A" w:rsidR="00772B3A" w:rsidRPr="0035794B" w:rsidRDefault="00962B88" w:rsidP="00962B88">
          <w:pPr>
            <w:pStyle w:val="TOCHeading"/>
            <w:jc w:val="center"/>
            <w:rPr>
              <w:rFonts w:ascii="Times New Roman" w:hAnsi="Times New Roman" w:cs="Times New Roman"/>
              <w:b/>
              <w:bCs/>
              <w:color w:val="auto"/>
            </w:rPr>
          </w:pPr>
          <w:proofErr w:type="spellStart"/>
          <w:r w:rsidRPr="0035794B">
            <w:rPr>
              <w:rFonts w:ascii="Times New Roman" w:hAnsi="Times New Roman" w:cs="Times New Roman"/>
              <w:b/>
              <w:bCs/>
              <w:color w:val="auto"/>
            </w:rPr>
            <w:t>Satura</w:t>
          </w:r>
          <w:proofErr w:type="spellEnd"/>
          <w:r w:rsidRPr="0035794B">
            <w:rPr>
              <w:rFonts w:ascii="Times New Roman" w:hAnsi="Times New Roman" w:cs="Times New Roman"/>
              <w:b/>
              <w:bCs/>
              <w:color w:val="auto"/>
            </w:rPr>
            <w:t xml:space="preserve"> </w:t>
          </w:r>
          <w:proofErr w:type="spellStart"/>
          <w:r w:rsidRPr="0035794B">
            <w:rPr>
              <w:rFonts w:ascii="Times New Roman" w:hAnsi="Times New Roman" w:cs="Times New Roman"/>
              <w:b/>
              <w:bCs/>
              <w:color w:val="auto"/>
            </w:rPr>
            <w:t>rādītājs</w:t>
          </w:r>
          <w:proofErr w:type="spellEnd"/>
        </w:p>
        <w:p w14:paraId="53B7A4B7" w14:textId="6B52749A" w:rsidR="00496B3F" w:rsidRDefault="00772B3A">
          <w:pPr>
            <w:pStyle w:val="TOC1"/>
            <w:rPr>
              <w:rFonts w:asciiTheme="minorHAnsi" w:eastAsiaTheme="minorEastAsia" w:hAnsiTheme="minorHAnsi" w:cstheme="minorBidi"/>
              <w:b w:val="0"/>
              <w:noProof/>
              <w:sz w:val="22"/>
              <w:szCs w:val="22"/>
              <w:lang w:eastAsia="lv-LV"/>
            </w:rPr>
          </w:pPr>
          <w:r>
            <w:fldChar w:fldCharType="begin"/>
          </w:r>
          <w:r>
            <w:instrText xml:space="preserve"> TOC \o "1-3" \h \z \u </w:instrText>
          </w:r>
          <w:r>
            <w:fldChar w:fldCharType="separate"/>
          </w:r>
          <w:hyperlink w:anchor="_Toc83667673" w:history="1">
            <w:r w:rsidR="00496B3F" w:rsidRPr="009E2FBA">
              <w:rPr>
                <w:rStyle w:val="Hyperlink"/>
                <w:noProof/>
              </w:rPr>
              <w:t>1. NODAĻA. PRIEKŠMETS</w:t>
            </w:r>
            <w:r w:rsidR="00496B3F">
              <w:rPr>
                <w:noProof/>
                <w:webHidden/>
              </w:rPr>
              <w:tab/>
            </w:r>
            <w:r w:rsidR="00496B3F">
              <w:rPr>
                <w:noProof/>
                <w:webHidden/>
              </w:rPr>
              <w:fldChar w:fldCharType="begin"/>
            </w:r>
            <w:r w:rsidR="00496B3F">
              <w:rPr>
                <w:noProof/>
                <w:webHidden/>
              </w:rPr>
              <w:instrText xml:space="preserve"> PAGEREF _Toc83667673 \h </w:instrText>
            </w:r>
            <w:r w:rsidR="00496B3F">
              <w:rPr>
                <w:noProof/>
                <w:webHidden/>
              </w:rPr>
            </w:r>
            <w:r w:rsidR="00496B3F">
              <w:rPr>
                <w:noProof/>
                <w:webHidden/>
              </w:rPr>
              <w:fldChar w:fldCharType="separate"/>
            </w:r>
            <w:r w:rsidR="00496B3F">
              <w:rPr>
                <w:noProof/>
                <w:webHidden/>
              </w:rPr>
              <w:t>4</w:t>
            </w:r>
            <w:r w:rsidR="00496B3F">
              <w:rPr>
                <w:noProof/>
                <w:webHidden/>
              </w:rPr>
              <w:fldChar w:fldCharType="end"/>
            </w:r>
          </w:hyperlink>
        </w:p>
        <w:p w14:paraId="4736E14A" w14:textId="5F6F6254" w:rsidR="00496B3F" w:rsidRDefault="00521D4D">
          <w:pPr>
            <w:pStyle w:val="TOC2"/>
            <w:tabs>
              <w:tab w:val="right" w:leader="dot" w:pos="9350"/>
            </w:tabs>
            <w:rPr>
              <w:rFonts w:asciiTheme="minorHAnsi" w:eastAsiaTheme="minorEastAsia" w:hAnsiTheme="minorHAnsi" w:cstheme="minorBidi"/>
              <w:noProof/>
              <w:lang w:val="lv-LV" w:eastAsia="lv-LV"/>
            </w:rPr>
          </w:pPr>
          <w:hyperlink w:anchor="_Toc83667674" w:history="1">
            <w:r w:rsidR="00496B3F" w:rsidRPr="009E2FBA">
              <w:rPr>
                <w:rStyle w:val="Hyperlink"/>
                <w:rFonts w:ascii="Times New Roman" w:hAnsi="Times New Roman"/>
                <w:noProof/>
                <w:lang w:val="lv-LV"/>
              </w:rPr>
              <w:t>1.1 – ĪPAŠAIS ESPON GADĪJUMS</w:t>
            </w:r>
            <w:r w:rsidR="00496B3F">
              <w:rPr>
                <w:noProof/>
                <w:webHidden/>
              </w:rPr>
              <w:tab/>
            </w:r>
            <w:r w:rsidR="00496B3F">
              <w:rPr>
                <w:noProof/>
                <w:webHidden/>
              </w:rPr>
              <w:fldChar w:fldCharType="begin"/>
            </w:r>
            <w:r w:rsidR="00496B3F">
              <w:rPr>
                <w:noProof/>
                <w:webHidden/>
              </w:rPr>
              <w:instrText xml:space="preserve"> PAGEREF _Toc83667674 \h </w:instrText>
            </w:r>
            <w:r w:rsidR="00496B3F">
              <w:rPr>
                <w:noProof/>
                <w:webHidden/>
              </w:rPr>
            </w:r>
            <w:r w:rsidR="00496B3F">
              <w:rPr>
                <w:noProof/>
                <w:webHidden/>
              </w:rPr>
              <w:fldChar w:fldCharType="separate"/>
            </w:r>
            <w:r w:rsidR="00496B3F">
              <w:rPr>
                <w:noProof/>
                <w:webHidden/>
              </w:rPr>
              <w:t>4</w:t>
            </w:r>
            <w:r w:rsidR="00496B3F">
              <w:rPr>
                <w:noProof/>
                <w:webHidden/>
              </w:rPr>
              <w:fldChar w:fldCharType="end"/>
            </w:r>
          </w:hyperlink>
        </w:p>
        <w:p w14:paraId="1F6DA170" w14:textId="140793E8" w:rsidR="00496B3F" w:rsidRDefault="00521D4D">
          <w:pPr>
            <w:pStyle w:val="TOC2"/>
            <w:tabs>
              <w:tab w:val="right" w:leader="dot" w:pos="9350"/>
            </w:tabs>
            <w:rPr>
              <w:rFonts w:asciiTheme="minorHAnsi" w:eastAsiaTheme="minorEastAsia" w:hAnsiTheme="minorHAnsi" w:cstheme="minorBidi"/>
              <w:noProof/>
              <w:lang w:val="lv-LV" w:eastAsia="lv-LV"/>
            </w:rPr>
          </w:pPr>
          <w:hyperlink w:anchor="_Toc83667675" w:history="1">
            <w:r w:rsidR="00496B3F" w:rsidRPr="009E2FBA">
              <w:rPr>
                <w:rStyle w:val="Hyperlink"/>
                <w:rFonts w:ascii="Times New Roman" w:hAnsi="Times New Roman"/>
                <w:noProof/>
                <w:lang w:val="lv-LV"/>
              </w:rPr>
              <w:t>1.2 – RISKA ATBILDĪBAS MEHĀNISMS</w:t>
            </w:r>
            <w:r w:rsidR="00496B3F">
              <w:rPr>
                <w:noProof/>
                <w:webHidden/>
              </w:rPr>
              <w:tab/>
            </w:r>
            <w:r w:rsidR="00496B3F">
              <w:rPr>
                <w:noProof/>
                <w:webHidden/>
              </w:rPr>
              <w:fldChar w:fldCharType="begin"/>
            </w:r>
            <w:r w:rsidR="00496B3F">
              <w:rPr>
                <w:noProof/>
                <w:webHidden/>
              </w:rPr>
              <w:instrText xml:space="preserve"> PAGEREF _Toc83667675 \h </w:instrText>
            </w:r>
            <w:r w:rsidR="00496B3F">
              <w:rPr>
                <w:noProof/>
                <w:webHidden/>
              </w:rPr>
            </w:r>
            <w:r w:rsidR="00496B3F">
              <w:rPr>
                <w:noProof/>
                <w:webHidden/>
              </w:rPr>
              <w:fldChar w:fldCharType="separate"/>
            </w:r>
            <w:r w:rsidR="00496B3F">
              <w:rPr>
                <w:noProof/>
                <w:webHidden/>
              </w:rPr>
              <w:t>4</w:t>
            </w:r>
            <w:r w:rsidR="00496B3F">
              <w:rPr>
                <w:noProof/>
                <w:webHidden/>
              </w:rPr>
              <w:fldChar w:fldCharType="end"/>
            </w:r>
          </w:hyperlink>
        </w:p>
        <w:p w14:paraId="4BD6F917" w14:textId="6F5ED048" w:rsidR="00496B3F" w:rsidRDefault="00521D4D">
          <w:pPr>
            <w:pStyle w:val="TOC1"/>
            <w:rPr>
              <w:rFonts w:asciiTheme="minorHAnsi" w:eastAsiaTheme="minorEastAsia" w:hAnsiTheme="minorHAnsi" w:cstheme="minorBidi"/>
              <w:b w:val="0"/>
              <w:noProof/>
              <w:sz w:val="22"/>
              <w:szCs w:val="22"/>
              <w:lang w:eastAsia="lv-LV"/>
            </w:rPr>
          </w:pPr>
          <w:hyperlink w:anchor="_Toc83667676" w:history="1">
            <w:r w:rsidR="00496B3F" w:rsidRPr="009E2FBA">
              <w:rPr>
                <w:rStyle w:val="Hyperlink"/>
                <w:noProof/>
              </w:rPr>
              <w:t>2. NODAĻA. DEFINĪCIJAS</w:t>
            </w:r>
            <w:r w:rsidR="00496B3F">
              <w:rPr>
                <w:noProof/>
                <w:webHidden/>
              </w:rPr>
              <w:tab/>
            </w:r>
            <w:r w:rsidR="00496B3F">
              <w:rPr>
                <w:noProof/>
                <w:webHidden/>
              </w:rPr>
              <w:fldChar w:fldCharType="begin"/>
            </w:r>
            <w:r w:rsidR="00496B3F">
              <w:rPr>
                <w:noProof/>
                <w:webHidden/>
              </w:rPr>
              <w:instrText xml:space="preserve"> PAGEREF _Toc83667676 \h </w:instrText>
            </w:r>
            <w:r w:rsidR="00496B3F">
              <w:rPr>
                <w:noProof/>
                <w:webHidden/>
              </w:rPr>
            </w:r>
            <w:r w:rsidR="00496B3F">
              <w:rPr>
                <w:noProof/>
                <w:webHidden/>
              </w:rPr>
              <w:fldChar w:fldCharType="separate"/>
            </w:r>
            <w:r w:rsidR="00496B3F">
              <w:rPr>
                <w:noProof/>
                <w:webHidden/>
              </w:rPr>
              <w:t>5</w:t>
            </w:r>
            <w:r w:rsidR="00496B3F">
              <w:rPr>
                <w:noProof/>
                <w:webHidden/>
              </w:rPr>
              <w:fldChar w:fldCharType="end"/>
            </w:r>
          </w:hyperlink>
        </w:p>
        <w:p w14:paraId="111EB210" w14:textId="4CE75FEF" w:rsidR="00496B3F" w:rsidRDefault="00521D4D">
          <w:pPr>
            <w:pStyle w:val="TOC1"/>
            <w:rPr>
              <w:rFonts w:asciiTheme="minorHAnsi" w:eastAsiaTheme="minorEastAsia" w:hAnsiTheme="minorHAnsi" w:cstheme="minorBidi"/>
              <w:b w:val="0"/>
              <w:noProof/>
              <w:sz w:val="22"/>
              <w:szCs w:val="22"/>
              <w:lang w:eastAsia="lv-LV"/>
            </w:rPr>
          </w:pPr>
          <w:hyperlink w:anchor="_Toc83667677" w:history="1">
            <w:r w:rsidR="00496B3F" w:rsidRPr="009E2FBA">
              <w:rPr>
                <w:rStyle w:val="Hyperlink"/>
                <w:noProof/>
              </w:rPr>
              <w:t>3. NODAĻA. ATBILDĪBAS MEHĀNISMA ĪPAŠAIS KONTEKSTS, MĒRĶIS UN GALVENIE ELEMENTI</w:t>
            </w:r>
            <w:r w:rsidR="00496B3F">
              <w:rPr>
                <w:noProof/>
                <w:webHidden/>
              </w:rPr>
              <w:tab/>
            </w:r>
            <w:r w:rsidR="00496B3F">
              <w:rPr>
                <w:noProof/>
                <w:webHidden/>
              </w:rPr>
              <w:fldChar w:fldCharType="begin"/>
            </w:r>
            <w:r w:rsidR="00496B3F">
              <w:rPr>
                <w:noProof/>
                <w:webHidden/>
              </w:rPr>
              <w:instrText xml:space="preserve"> PAGEREF _Toc83667677 \h </w:instrText>
            </w:r>
            <w:r w:rsidR="00496B3F">
              <w:rPr>
                <w:noProof/>
                <w:webHidden/>
              </w:rPr>
            </w:r>
            <w:r w:rsidR="00496B3F">
              <w:rPr>
                <w:noProof/>
                <w:webHidden/>
              </w:rPr>
              <w:fldChar w:fldCharType="separate"/>
            </w:r>
            <w:r w:rsidR="00496B3F">
              <w:rPr>
                <w:noProof/>
                <w:webHidden/>
              </w:rPr>
              <w:t>5</w:t>
            </w:r>
            <w:r w:rsidR="00496B3F">
              <w:rPr>
                <w:noProof/>
                <w:webHidden/>
              </w:rPr>
              <w:fldChar w:fldCharType="end"/>
            </w:r>
          </w:hyperlink>
        </w:p>
        <w:p w14:paraId="61A1C6F5" w14:textId="5D047DDD" w:rsidR="00496B3F" w:rsidRDefault="00521D4D">
          <w:pPr>
            <w:pStyle w:val="TOC2"/>
            <w:tabs>
              <w:tab w:val="right" w:leader="dot" w:pos="9350"/>
            </w:tabs>
            <w:rPr>
              <w:rFonts w:asciiTheme="minorHAnsi" w:eastAsiaTheme="minorEastAsia" w:hAnsiTheme="minorHAnsi" w:cstheme="minorBidi"/>
              <w:noProof/>
              <w:lang w:val="lv-LV" w:eastAsia="lv-LV"/>
            </w:rPr>
          </w:pPr>
          <w:hyperlink w:anchor="_Toc83667678" w:history="1">
            <w:r w:rsidR="00496B3F" w:rsidRPr="009E2FBA">
              <w:rPr>
                <w:rStyle w:val="Hyperlink"/>
                <w:rFonts w:ascii="Times New Roman" w:hAnsi="Times New Roman"/>
                <w:noProof/>
                <w:lang w:val="lv-LV"/>
              </w:rPr>
              <w:t>3.1 – NEATTIECINĀMO IZDEVUMU SEGUMS – ATBILDĪBAS GADĪJUMI</w:t>
            </w:r>
            <w:r w:rsidR="00496B3F">
              <w:rPr>
                <w:noProof/>
                <w:webHidden/>
              </w:rPr>
              <w:tab/>
            </w:r>
            <w:r w:rsidR="00496B3F">
              <w:rPr>
                <w:noProof/>
                <w:webHidden/>
              </w:rPr>
              <w:fldChar w:fldCharType="begin"/>
            </w:r>
            <w:r w:rsidR="00496B3F">
              <w:rPr>
                <w:noProof/>
                <w:webHidden/>
              </w:rPr>
              <w:instrText xml:space="preserve"> PAGEREF _Toc83667678 \h </w:instrText>
            </w:r>
            <w:r w:rsidR="00496B3F">
              <w:rPr>
                <w:noProof/>
                <w:webHidden/>
              </w:rPr>
            </w:r>
            <w:r w:rsidR="00496B3F">
              <w:rPr>
                <w:noProof/>
                <w:webHidden/>
              </w:rPr>
              <w:fldChar w:fldCharType="separate"/>
            </w:r>
            <w:r w:rsidR="00496B3F">
              <w:rPr>
                <w:noProof/>
                <w:webHidden/>
              </w:rPr>
              <w:t>5</w:t>
            </w:r>
            <w:r w:rsidR="00496B3F">
              <w:rPr>
                <w:noProof/>
                <w:webHidden/>
              </w:rPr>
              <w:fldChar w:fldCharType="end"/>
            </w:r>
          </w:hyperlink>
        </w:p>
        <w:p w14:paraId="165A9938" w14:textId="36B80D29" w:rsidR="00496B3F" w:rsidRDefault="00521D4D">
          <w:pPr>
            <w:pStyle w:val="TOC2"/>
            <w:tabs>
              <w:tab w:val="right" w:leader="dot" w:pos="9350"/>
            </w:tabs>
            <w:rPr>
              <w:rFonts w:asciiTheme="minorHAnsi" w:eastAsiaTheme="minorEastAsia" w:hAnsiTheme="minorHAnsi" w:cstheme="minorBidi"/>
              <w:noProof/>
              <w:lang w:val="lv-LV" w:eastAsia="lv-LV"/>
            </w:rPr>
          </w:pPr>
          <w:hyperlink w:anchor="_Toc83667679" w:history="1">
            <w:r w:rsidR="00496B3F" w:rsidRPr="009E2FBA">
              <w:rPr>
                <w:rStyle w:val="Hyperlink"/>
                <w:rFonts w:ascii="Times New Roman" w:hAnsi="Times New Roman"/>
                <w:noProof/>
                <w:lang w:val="lv-LV"/>
              </w:rPr>
              <w:t>3.2 – ATBILDĪBA “ESPON 2030” PROGRAMMAS IETVAROS SAISTĪBĀ AR ESPON ETSG</w:t>
            </w:r>
            <w:r w:rsidR="00496B3F">
              <w:rPr>
                <w:noProof/>
                <w:webHidden/>
              </w:rPr>
              <w:tab/>
            </w:r>
            <w:r w:rsidR="00496B3F">
              <w:rPr>
                <w:noProof/>
                <w:webHidden/>
              </w:rPr>
              <w:fldChar w:fldCharType="begin"/>
            </w:r>
            <w:r w:rsidR="00496B3F">
              <w:rPr>
                <w:noProof/>
                <w:webHidden/>
              </w:rPr>
              <w:instrText xml:space="preserve"> PAGEREF _Toc83667679 \h </w:instrText>
            </w:r>
            <w:r w:rsidR="00496B3F">
              <w:rPr>
                <w:noProof/>
                <w:webHidden/>
              </w:rPr>
            </w:r>
            <w:r w:rsidR="00496B3F">
              <w:rPr>
                <w:noProof/>
                <w:webHidden/>
              </w:rPr>
              <w:fldChar w:fldCharType="separate"/>
            </w:r>
            <w:r w:rsidR="00496B3F">
              <w:rPr>
                <w:noProof/>
                <w:webHidden/>
              </w:rPr>
              <w:t>6</w:t>
            </w:r>
            <w:r w:rsidR="00496B3F">
              <w:rPr>
                <w:noProof/>
                <w:webHidden/>
              </w:rPr>
              <w:fldChar w:fldCharType="end"/>
            </w:r>
          </w:hyperlink>
        </w:p>
        <w:p w14:paraId="2CB4C89F" w14:textId="5483E33A" w:rsidR="00496B3F" w:rsidRDefault="00521D4D">
          <w:pPr>
            <w:pStyle w:val="TOC2"/>
            <w:tabs>
              <w:tab w:val="right" w:leader="dot" w:pos="9350"/>
            </w:tabs>
            <w:rPr>
              <w:rFonts w:asciiTheme="minorHAnsi" w:eastAsiaTheme="minorEastAsia" w:hAnsiTheme="minorHAnsi" w:cstheme="minorBidi"/>
              <w:noProof/>
              <w:lang w:val="lv-LV" w:eastAsia="lv-LV"/>
            </w:rPr>
          </w:pPr>
          <w:hyperlink w:anchor="_Toc83667680" w:history="1">
            <w:r w:rsidR="00496B3F" w:rsidRPr="009E2FBA">
              <w:rPr>
                <w:rStyle w:val="Hyperlink"/>
                <w:rFonts w:ascii="Times New Roman" w:hAnsi="Times New Roman"/>
                <w:noProof/>
                <w:lang w:val="lv-LV"/>
              </w:rPr>
              <w:t>3.3 –ESPON ETSG LOCEKĻU ATBILDĪBA</w:t>
            </w:r>
            <w:r w:rsidR="00496B3F">
              <w:rPr>
                <w:noProof/>
                <w:webHidden/>
              </w:rPr>
              <w:tab/>
            </w:r>
            <w:r w:rsidR="00496B3F">
              <w:rPr>
                <w:noProof/>
                <w:webHidden/>
              </w:rPr>
              <w:fldChar w:fldCharType="begin"/>
            </w:r>
            <w:r w:rsidR="00496B3F">
              <w:rPr>
                <w:noProof/>
                <w:webHidden/>
              </w:rPr>
              <w:instrText xml:space="preserve"> PAGEREF _Toc83667680 \h </w:instrText>
            </w:r>
            <w:r w:rsidR="00496B3F">
              <w:rPr>
                <w:noProof/>
                <w:webHidden/>
              </w:rPr>
            </w:r>
            <w:r w:rsidR="00496B3F">
              <w:rPr>
                <w:noProof/>
                <w:webHidden/>
              </w:rPr>
              <w:fldChar w:fldCharType="separate"/>
            </w:r>
            <w:r w:rsidR="00496B3F">
              <w:rPr>
                <w:noProof/>
                <w:webHidden/>
              </w:rPr>
              <w:t>6</w:t>
            </w:r>
            <w:r w:rsidR="00496B3F">
              <w:rPr>
                <w:noProof/>
                <w:webHidden/>
              </w:rPr>
              <w:fldChar w:fldCharType="end"/>
            </w:r>
          </w:hyperlink>
        </w:p>
        <w:p w14:paraId="2E8135FB" w14:textId="0BCD5FAF" w:rsidR="00496B3F" w:rsidRDefault="00521D4D">
          <w:pPr>
            <w:pStyle w:val="TOC2"/>
            <w:tabs>
              <w:tab w:val="right" w:leader="dot" w:pos="9350"/>
            </w:tabs>
            <w:rPr>
              <w:rFonts w:asciiTheme="minorHAnsi" w:eastAsiaTheme="minorEastAsia" w:hAnsiTheme="minorHAnsi" w:cstheme="minorBidi"/>
              <w:noProof/>
              <w:lang w:val="lv-LV" w:eastAsia="lv-LV"/>
            </w:rPr>
          </w:pPr>
          <w:hyperlink w:anchor="_Toc83667681" w:history="1">
            <w:r w:rsidR="00496B3F" w:rsidRPr="009E2FBA">
              <w:rPr>
                <w:rStyle w:val="Hyperlink"/>
                <w:rFonts w:ascii="Times New Roman" w:hAnsi="Times New Roman"/>
                <w:noProof/>
                <w:lang w:val="lv-LV"/>
              </w:rPr>
              <w:t>3.4 – ATBILDĪBAS MEHĀNISMA MĒRĶIS</w:t>
            </w:r>
            <w:r w:rsidR="00496B3F">
              <w:rPr>
                <w:noProof/>
                <w:webHidden/>
              </w:rPr>
              <w:tab/>
            </w:r>
            <w:r w:rsidR="00496B3F">
              <w:rPr>
                <w:noProof/>
                <w:webHidden/>
              </w:rPr>
              <w:fldChar w:fldCharType="begin"/>
            </w:r>
            <w:r w:rsidR="00496B3F">
              <w:rPr>
                <w:noProof/>
                <w:webHidden/>
              </w:rPr>
              <w:instrText xml:space="preserve"> PAGEREF _Toc83667681 \h </w:instrText>
            </w:r>
            <w:r w:rsidR="00496B3F">
              <w:rPr>
                <w:noProof/>
                <w:webHidden/>
              </w:rPr>
            </w:r>
            <w:r w:rsidR="00496B3F">
              <w:rPr>
                <w:noProof/>
                <w:webHidden/>
              </w:rPr>
              <w:fldChar w:fldCharType="separate"/>
            </w:r>
            <w:r w:rsidR="00496B3F">
              <w:rPr>
                <w:noProof/>
                <w:webHidden/>
              </w:rPr>
              <w:t>6</w:t>
            </w:r>
            <w:r w:rsidR="00496B3F">
              <w:rPr>
                <w:noProof/>
                <w:webHidden/>
              </w:rPr>
              <w:fldChar w:fldCharType="end"/>
            </w:r>
          </w:hyperlink>
        </w:p>
        <w:p w14:paraId="2E00BD32" w14:textId="1DFEAD25" w:rsidR="00496B3F" w:rsidRDefault="00521D4D">
          <w:pPr>
            <w:pStyle w:val="TOC2"/>
            <w:tabs>
              <w:tab w:val="right" w:leader="dot" w:pos="9350"/>
            </w:tabs>
            <w:rPr>
              <w:rFonts w:asciiTheme="minorHAnsi" w:eastAsiaTheme="minorEastAsia" w:hAnsiTheme="minorHAnsi" w:cstheme="minorBidi"/>
              <w:noProof/>
              <w:lang w:val="lv-LV" w:eastAsia="lv-LV"/>
            </w:rPr>
          </w:pPr>
          <w:hyperlink w:anchor="_Toc83667682" w:history="1">
            <w:r w:rsidR="00496B3F" w:rsidRPr="009E2FBA">
              <w:rPr>
                <w:rStyle w:val="Hyperlink"/>
                <w:rFonts w:ascii="Times New Roman" w:hAnsi="Times New Roman"/>
                <w:noProof/>
                <w:lang w:val="lv-LV"/>
              </w:rPr>
              <w:t>3.5 – ATBILDĪBAS MEHĀNISMA GALVENIE ELEMENTI</w:t>
            </w:r>
            <w:r w:rsidR="00496B3F">
              <w:rPr>
                <w:noProof/>
                <w:webHidden/>
              </w:rPr>
              <w:tab/>
            </w:r>
            <w:r w:rsidR="00496B3F">
              <w:rPr>
                <w:noProof/>
                <w:webHidden/>
              </w:rPr>
              <w:fldChar w:fldCharType="begin"/>
            </w:r>
            <w:r w:rsidR="00496B3F">
              <w:rPr>
                <w:noProof/>
                <w:webHidden/>
              </w:rPr>
              <w:instrText xml:space="preserve"> PAGEREF _Toc83667682 \h </w:instrText>
            </w:r>
            <w:r w:rsidR="00496B3F">
              <w:rPr>
                <w:noProof/>
                <w:webHidden/>
              </w:rPr>
            </w:r>
            <w:r w:rsidR="00496B3F">
              <w:rPr>
                <w:noProof/>
                <w:webHidden/>
              </w:rPr>
              <w:fldChar w:fldCharType="separate"/>
            </w:r>
            <w:r w:rsidR="00496B3F">
              <w:rPr>
                <w:noProof/>
                <w:webHidden/>
              </w:rPr>
              <w:t>7</w:t>
            </w:r>
            <w:r w:rsidR="00496B3F">
              <w:rPr>
                <w:noProof/>
                <w:webHidden/>
              </w:rPr>
              <w:fldChar w:fldCharType="end"/>
            </w:r>
          </w:hyperlink>
        </w:p>
        <w:p w14:paraId="6D66E6ED" w14:textId="0AC58BAE" w:rsidR="00496B3F" w:rsidRDefault="00521D4D">
          <w:pPr>
            <w:pStyle w:val="TOC1"/>
            <w:rPr>
              <w:rFonts w:asciiTheme="minorHAnsi" w:eastAsiaTheme="minorEastAsia" w:hAnsiTheme="minorHAnsi" w:cstheme="minorBidi"/>
              <w:b w:val="0"/>
              <w:noProof/>
              <w:sz w:val="22"/>
              <w:szCs w:val="22"/>
              <w:lang w:eastAsia="lv-LV"/>
            </w:rPr>
          </w:pPr>
          <w:hyperlink w:anchor="_Toc83667683" w:history="1">
            <w:r w:rsidR="00496B3F" w:rsidRPr="009E2FBA">
              <w:rPr>
                <w:rStyle w:val="Hyperlink"/>
                <w:noProof/>
              </w:rPr>
              <w:t>4. NODAĻA. SPECIFISKAIS ESPON ETSG LIKUMISKAIS UN DARBĪBAS NODROŠINĀJUMS</w:t>
            </w:r>
            <w:r w:rsidR="00496B3F">
              <w:rPr>
                <w:noProof/>
                <w:webHidden/>
              </w:rPr>
              <w:tab/>
            </w:r>
            <w:r w:rsidR="00496B3F">
              <w:rPr>
                <w:noProof/>
                <w:webHidden/>
              </w:rPr>
              <w:fldChar w:fldCharType="begin"/>
            </w:r>
            <w:r w:rsidR="00496B3F">
              <w:rPr>
                <w:noProof/>
                <w:webHidden/>
              </w:rPr>
              <w:instrText xml:space="preserve"> PAGEREF _Toc83667683 \h </w:instrText>
            </w:r>
            <w:r w:rsidR="00496B3F">
              <w:rPr>
                <w:noProof/>
                <w:webHidden/>
              </w:rPr>
            </w:r>
            <w:r w:rsidR="00496B3F">
              <w:rPr>
                <w:noProof/>
                <w:webHidden/>
              </w:rPr>
              <w:fldChar w:fldCharType="separate"/>
            </w:r>
            <w:r w:rsidR="00496B3F">
              <w:rPr>
                <w:noProof/>
                <w:webHidden/>
              </w:rPr>
              <w:t>7</w:t>
            </w:r>
            <w:r w:rsidR="00496B3F">
              <w:rPr>
                <w:noProof/>
                <w:webHidden/>
              </w:rPr>
              <w:fldChar w:fldCharType="end"/>
            </w:r>
          </w:hyperlink>
        </w:p>
        <w:p w14:paraId="1FB6020B" w14:textId="38BA61D9" w:rsidR="00496B3F" w:rsidRDefault="00521D4D">
          <w:pPr>
            <w:pStyle w:val="TOC2"/>
            <w:tabs>
              <w:tab w:val="right" w:leader="dot" w:pos="9350"/>
            </w:tabs>
            <w:rPr>
              <w:rFonts w:asciiTheme="minorHAnsi" w:eastAsiaTheme="minorEastAsia" w:hAnsiTheme="minorHAnsi" w:cstheme="minorBidi"/>
              <w:noProof/>
              <w:lang w:val="lv-LV" w:eastAsia="lv-LV"/>
            </w:rPr>
          </w:pPr>
          <w:hyperlink w:anchor="_Toc83667684" w:history="1">
            <w:r w:rsidR="00496B3F" w:rsidRPr="009E2FBA">
              <w:rPr>
                <w:rStyle w:val="Hyperlink"/>
                <w:rFonts w:ascii="Times New Roman" w:hAnsi="Times New Roman"/>
                <w:noProof/>
                <w:lang w:val="lv-LV"/>
              </w:rPr>
              <w:t>4.1 – DARBĪBAS NODROŠINĀJUMS RISKA PROFILAKSEI, LAI SAMAZINĀTU ATBILDĪBAS GADĪJUMUS</w:t>
            </w:r>
            <w:r w:rsidR="00496B3F">
              <w:rPr>
                <w:noProof/>
                <w:webHidden/>
              </w:rPr>
              <w:tab/>
            </w:r>
            <w:r w:rsidR="00496B3F">
              <w:rPr>
                <w:noProof/>
                <w:webHidden/>
              </w:rPr>
              <w:fldChar w:fldCharType="begin"/>
            </w:r>
            <w:r w:rsidR="00496B3F">
              <w:rPr>
                <w:noProof/>
                <w:webHidden/>
              </w:rPr>
              <w:instrText xml:space="preserve"> PAGEREF _Toc83667684 \h </w:instrText>
            </w:r>
            <w:r w:rsidR="00496B3F">
              <w:rPr>
                <w:noProof/>
                <w:webHidden/>
              </w:rPr>
            </w:r>
            <w:r w:rsidR="00496B3F">
              <w:rPr>
                <w:noProof/>
                <w:webHidden/>
              </w:rPr>
              <w:fldChar w:fldCharType="separate"/>
            </w:r>
            <w:r w:rsidR="00496B3F">
              <w:rPr>
                <w:noProof/>
                <w:webHidden/>
              </w:rPr>
              <w:t>7</w:t>
            </w:r>
            <w:r w:rsidR="00496B3F">
              <w:rPr>
                <w:noProof/>
                <w:webHidden/>
              </w:rPr>
              <w:fldChar w:fldCharType="end"/>
            </w:r>
          </w:hyperlink>
        </w:p>
        <w:p w14:paraId="247921DC" w14:textId="05595553" w:rsidR="00496B3F" w:rsidRDefault="00521D4D">
          <w:pPr>
            <w:pStyle w:val="TOC2"/>
            <w:tabs>
              <w:tab w:val="right" w:leader="dot" w:pos="9350"/>
            </w:tabs>
            <w:rPr>
              <w:rFonts w:asciiTheme="minorHAnsi" w:eastAsiaTheme="minorEastAsia" w:hAnsiTheme="minorHAnsi" w:cstheme="minorBidi"/>
              <w:noProof/>
              <w:lang w:val="lv-LV" w:eastAsia="lv-LV"/>
            </w:rPr>
          </w:pPr>
          <w:hyperlink w:anchor="_Toc83667685" w:history="1">
            <w:r w:rsidR="00496B3F" w:rsidRPr="009E2FBA">
              <w:rPr>
                <w:rStyle w:val="Hyperlink"/>
                <w:rFonts w:ascii="Times New Roman" w:hAnsi="Times New Roman"/>
                <w:noProof/>
                <w:lang w:val="lv-LV"/>
              </w:rPr>
              <w:t>4.2 – NOTEIKUMI PAR ESPON ETSG KONSULTATĪVO KOMITEJU</w:t>
            </w:r>
            <w:r w:rsidR="00496B3F">
              <w:rPr>
                <w:noProof/>
                <w:webHidden/>
              </w:rPr>
              <w:tab/>
            </w:r>
            <w:r w:rsidR="00496B3F">
              <w:rPr>
                <w:noProof/>
                <w:webHidden/>
              </w:rPr>
              <w:fldChar w:fldCharType="begin"/>
            </w:r>
            <w:r w:rsidR="00496B3F">
              <w:rPr>
                <w:noProof/>
                <w:webHidden/>
              </w:rPr>
              <w:instrText xml:space="preserve"> PAGEREF _Toc83667685 \h </w:instrText>
            </w:r>
            <w:r w:rsidR="00496B3F">
              <w:rPr>
                <w:noProof/>
                <w:webHidden/>
              </w:rPr>
            </w:r>
            <w:r w:rsidR="00496B3F">
              <w:rPr>
                <w:noProof/>
                <w:webHidden/>
              </w:rPr>
              <w:fldChar w:fldCharType="separate"/>
            </w:r>
            <w:r w:rsidR="00496B3F">
              <w:rPr>
                <w:noProof/>
                <w:webHidden/>
              </w:rPr>
              <w:t>8</w:t>
            </w:r>
            <w:r w:rsidR="00496B3F">
              <w:rPr>
                <w:noProof/>
                <w:webHidden/>
              </w:rPr>
              <w:fldChar w:fldCharType="end"/>
            </w:r>
          </w:hyperlink>
        </w:p>
        <w:p w14:paraId="5614C1CC" w14:textId="7A5A2D90" w:rsidR="00496B3F" w:rsidRDefault="00521D4D">
          <w:pPr>
            <w:pStyle w:val="TOC1"/>
            <w:rPr>
              <w:rFonts w:asciiTheme="minorHAnsi" w:eastAsiaTheme="minorEastAsia" w:hAnsiTheme="minorHAnsi" w:cstheme="minorBidi"/>
              <w:b w:val="0"/>
              <w:noProof/>
              <w:sz w:val="22"/>
              <w:szCs w:val="22"/>
              <w:lang w:eastAsia="lv-LV"/>
            </w:rPr>
          </w:pPr>
          <w:hyperlink w:anchor="_Toc83667686" w:history="1">
            <w:r w:rsidR="00496B3F" w:rsidRPr="009E2FBA">
              <w:rPr>
                <w:rStyle w:val="Hyperlink"/>
                <w:noProof/>
              </w:rPr>
              <w:t>5. NODAĻA. KOPĒJAIS BUDŽETS UN DALĪBVALSTU UN PARTNERVALSTU IEMAKSAS</w:t>
            </w:r>
            <w:r w:rsidR="00496B3F">
              <w:rPr>
                <w:noProof/>
                <w:webHidden/>
              </w:rPr>
              <w:tab/>
            </w:r>
            <w:r w:rsidR="00496B3F">
              <w:rPr>
                <w:noProof/>
                <w:webHidden/>
              </w:rPr>
              <w:fldChar w:fldCharType="begin"/>
            </w:r>
            <w:r w:rsidR="00496B3F">
              <w:rPr>
                <w:noProof/>
                <w:webHidden/>
              </w:rPr>
              <w:instrText xml:space="preserve"> PAGEREF _Toc83667686 \h </w:instrText>
            </w:r>
            <w:r w:rsidR="00496B3F">
              <w:rPr>
                <w:noProof/>
                <w:webHidden/>
              </w:rPr>
            </w:r>
            <w:r w:rsidR="00496B3F">
              <w:rPr>
                <w:noProof/>
                <w:webHidden/>
              </w:rPr>
              <w:fldChar w:fldCharType="separate"/>
            </w:r>
            <w:r w:rsidR="00496B3F">
              <w:rPr>
                <w:noProof/>
                <w:webHidden/>
              </w:rPr>
              <w:t>8</w:t>
            </w:r>
            <w:r w:rsidR="00496B3F">
              <w:rPr>
                <w:noProof/>
                <w:webHidden/>
              </w:rPr>
              <w:fldChar w:fldCharType="end"/>
            </w:r>
          </w:hyperlink>
        </w:p>
        <w:p w14:paraId="755B96E2" w14:textId="5720DEA5" w:rsidR="00496B3F" w:rsidRDefault="00521D4D">
          <w:pPr>
            <w:pStyle w:val="TOC2"/>
            <w:tabs>
              <w:tab w:val="right" w:leader="dot" w:pos="9350"/>
            </w:tabs>
            <w:rPr>
              <w:rFonts w:asciiTheme="minorHAnsi" w:eastAsiaTheme="minorEastAsia" w:hAnsiTheme="minorHAnsi" w:cstheme="minorBidi"/>
              <w:noProof/>
              <w:lang w:val="lv-LV" w:eastAsia="lv-LV"/>
            </w:rPr>
          </w:pPr>
          <w:hyperlink w:anchor="_Toc83667687" w:history="1">
            <w:r w:rsidR="00496B3F" w:rsidRPr="009E2FBA">
              <w:rPr>
                <w:rStyle w:val="Hyperlink"/>
                <w:rFonts w:ascii="Times New Roman" w:hAnsi="Times New Roman"/>
                <w:noProof/>
                <w:lang w:val="lv-LV"/>
              </w:rPr>
              <w:t>5.1 – ATBILDĪBAS MEHĀNISMA KOPĪGAIS UN IEROBEŽOTAIS FINANSĒJUMS</w:t>
            </w:r>
            <w:r w:rsidR="00496B3F">
              <w:rPr>
                <w:noProof/>
                <w:webHidden/>
              </w:rPr>
              <w:tab/>
            </w:r>
            <w:r w:rsidR="00496B3F">
              <w:rPr>
                <w:noProof/>
                <w:webHidden/>
              </w:rPr>
              <w:fldChar w:fldCharType="begin"/>
            </w:r>
            <w:r w:rsidR="00496B3F">
              <w:rPr>
                <w:noProof/>
                <w:webHidden/>
              </w:rPr>
              <w:instrText xml:space="preserve"> PAGEREF _Toc83667687 \h </w:instrText>
            </w:r>
            <w:r w:rsidR="00496B3F">
              <w:rPr>
                <w:noProof/>
                <w:webHidden/>
              </w:rPr>
            </w:r>
            <w:r w:rsidR="00496B3F">
              <w:rPr>
                <w:noProof/>
                <w:webHidden/>
              </w:rPr>
              <w:fldChar w:fldCharType="separate"/>
            </w:r>
            <w:r w:rsidR="00496B3F">
              <w:rPr>
                <w:noProof/>
                <w:webHidden/>
              </w:rPr>
              <w:t>8</w:t>
            </w:r>
            <w:r w:rsidR="00496B3F">
              <w:rPr>
                <w:noProof/>
                <w:webHidden/>
              </w:rPr>
              <w:fldChar w:fldCharType="end"/>
            </w:r>
          </w:hyperlink>
        </w:p>
        <w:p w14:paraId="55B84BE5" w14:textId="0FC71F5B" w:rsidR="00496B3F" w:rsidRDefault="00521D4D">
          <w:pPr>
            <w:pStyle w:val="TOC2"/>
            <w:tabs>
              <w:tab w:val="right" w:leader="dot" w:pos="9350"/>
            </w:tabs>
            <w:rPr>
              <w:rFonts w:asciiTheme="minorHAnsi" w:eastAsiaTheme="minorEastAsia" w:hAnsiTheme="minorHAnsi" w:cstheme="minorBidi"/>
              <w:noProof/>
              <w:lang w:val="lv-LV" w:eastAsia="lv-LV"/>
            </w:rPr>
          </w:pPr>
          <w:hyperlink w:anchor="_Toc83667688" w:history="1">
            <w:r w:rsidR="00496B3F" w:rsidRPr="009E2FBA">
              <w:rPr>
                <w:rStyle w:val="Hyperlink"/>
                <w:rFonts w:ascii="Times New Roman" w:hAnsi="Times New Roman"/>
                <w:noProof/>
                <w:lang w:val="lv-LV"/>
              </w:rPr>
              <w:t>5.2 – PAMATOJUMS 2 % SLIEKSNIM – BUDŽETA NOTEIKŠANA</w:t>
            </w:r>
            <w:r w:rsidR="00496B3F">
              <w:rPr>
                <w:noProof/>
                <w:webHidden/>
              </w:rPr>
              <w:tab/>
            </w:r>
            <w:r w:rsidR="00496B3F">
              <w:rPr>
                <w:noProof/>
                <w:webHidden/>
              </w:rPr>
              <w:fldChar w:fldCharType="begin"/>
            </w:r>
            <w:r w:rsidR="00496B3F">
              <w:rPr>
                <w:noProof/>
                <w:webHidden/>
              </w:rPr>
              <w:instrText xml:space="preserve"> PAGEREF _Toc83667688 \h </w:instrText>
            </w:r>
            <w:r w:rsidR="00496B3F">
              <w:rPr>
                <w:noProof/>
                <w:webHidden/>
              </w:rPr>
            </w:r>
            <w:r w:rsidR="00496B3F">
              <w:rPr>
                <w:noProof/>
                <w:webHidden/>
              </w:rPr>
              <w:fldChar w:fldCharType="separate"/>
            </w:r>
            <w:r w:rsidR="00496B3F">
              <w:rPr>
                <w:noProof/>
                <w:webHidden/>
              </w:rPr>
              <w:t>9</w:t>
            </w:r>
            <w:r w:rsidR="00496B3F">
              <w:rPr>
                <w:noProof/>
                <w:webHidden/>
              </w:rPr>
              <w:fldChar w:fldCharType="end"/>
            </w:r>
          </w:hyperlink>
        </w:p>
        <w:p w14:paraId="1A446A55" w14:textId="15BFFFE0" w:rsidR="00496B3F" w:rsidRDefault="00521D4D">
          <w:pPr>
            <w:pStyle w:val="TOC2"/>
            <w:tabs>
              <w:tab w:val="right" w:leader="dot" w:pos="9350"/>
            </w:tabs>
            <w:rPr>
              <w:rFonts w:asciiTheme="minorHAnsi" w:eastAsiaTheme="minorEastAsia" w:hAnsiTheme="minorHAnsi" w:cstheme="minorBidi"/>
              <w:noProof/>
              <w:lang w:val="lv-LV" w:eastAsia="lv-LV"/>
            </w:rPr>
          </w:pPr>
          <w:hyperlink w:anchor="_Toc83667689" w:history="1">
            <w:r w:rsidR="00496B3F" w:rsidRPr="009E2FBA">
              <w:rPr>
                <w:rStyle w:val="Hyperlink"/>
                <w:rFonts w:ascii="Times New Roman" w:hAnsi="Times New Roman"/>
                <w:noProof/>
                <w:lang w:val="lv-LV"/>
              </w:rPr>
              <w:t>5.3 – DALĪBVALSTU IEMAKSAS ATBILDĪBAS MEHĀNISMĀ</w:t>
            </w:r>
            <w:r w:rsidR="00496B3F">
              <w:rPr>
                <w:noProof/>
                <w:webHidden/>
              </w:rPr>
              <w:tab/>
            </w:r>
            <w:r w:rsidR="00496B3F">
              <w:rPr>
                <w:noProof/>
                <w:webHidden/>
              </w:rPr>
              <w:fldChar w:fldCharType="begin"/>
            </w:r>
            <w:r w:rsidR="00496B3F">
              <w:rPr>
                <w:noProof/>
                <w:webHidden/>
              </w:rPr>
              <w:instrText xml:space="preserve"> PAGEREF _Toc83667689 \h </w:instrText>
            </w:r>
            <w:r w:rsidR="00496B3F">
              <w:rPr>
                <w:noProof/>
                <w:webHidden/>
              </w:rPr>
            </w:r>
            <w:r w:rsidR="00496B3F">
              <w:rPr>
                <w:noProof/>
                <w:webHidden/>
              </w:rPr>
              <w:fldChar w:fldCharType="separate"/>
            </w:r>
            <w:r w:rsidR="00496B3F">
              <w:rPr>
                <w:noProof/>
                <w:webHidden/>
              </w:rPr>
              <w:t>9</w:t>
            </w:r>
            <w:r w:rsidR="00496B3F">
              <w:rPr>
                <w:noProof/>
                <w:webHidden/>
              </w:rPr>
              <w:fldChar w:fldCharType="end"/>
            </w:r>
          </w:hyperlink>
        </w:p>
        <w:p w14:paraId="4DB0060F" w14:textId="7DF9F91E" w:rsidR="00496B3F" w:rsidRDefault="00521D4D">
          <w:pPr>
            <w:pStyle w:val="TOC2"/>
            <w:tabs>
              <w:tab w:val="right" w:leader="dot" w:pos="9350"/>
            </w:tabs>
            <w:rPr>
              <w:rFonts w:asciiTheme="minorHAnsi" w:eastAsiaTheme="minorEastAsia" w:hAnsiTheme="minorHAnsi" w:cstheme="minorBidi"/>
              <w:noProof/>
              <w:lang w:val="lv-LV" w:eastAsia="lv-LV"/>
            </w:rPr>
          </w:pPr>
          <w:hyperlink w:anchor="_Toc83667690" w:history="1">
            <w:r w:rsidR="00496B3F" w:rsidRPr="009E2FBA">
              <w:rPr>
                <w:rStyle w:val="Hyperlink"/>
                <w:rFonts w:ascii="Times New Roman" w:hAnsi="Times New Roman"/>
                <w:noProof/>
                <w:lang w:val="lv-LV"/>
              </w:rPr>
              <w:t>5.4 –LUKSEMBURGAS SEGUMS ATBILDĪBAS GADĪJUMIEM, KAS PĀRSNIEDZ 2 % SLIEKSNI</w:t>
            </w:r>
            <w:r w:rsidR="00496B3F">
              <w:rPr>
                <w:noProof/>
                <w:webHidden/>
              </w:rPr>
              <w:tab/>
            </w:r>
            <w:r w:rsidR="00496B3F">
              <w:rPr>
                <w:noProof/>
                <w:webHidden/>
              </w:rPr>
              <w:fldChar w:fldCharType="begin"/>
            </w:r>
            <w:r w:rsidR="00496B3F">
              <w:rPr>
                <w:noProof/>
                <w:webHidden/>
              </w:rPr>
              <w:instrText xml:space="preserve"> PAGEREF _Toc83667690 \h </w:instrText>
            </w:r>
            <w:r w:rsidR="00496B3F">
              <w:rPr>
                <w:noProof/>
                <w:webHidden/>
              </w:rPr>
            </w:r>
            <w:r w:rsidR="00496B3F">
              <w:rPr>
                <w:noProof/>
                <w:webHidden/>
              </w:rPr>
              <w:fldChar w:fldCharType="separate"/>
            </w:r>
            <w:r w:rsidR="00496B3F">
              <w:rPr>
                <w:noProof/>
                <w:webHidden/>
              </w:rPr>
              <w:t>11</w:t>
            </w:r>
            <w:r w:rsidR="00496B3F">
              <w:rPr>
                <w:noProof/>
                <w:webHidden/>
              </w:rPr>
              <w:fldChar w:fldCharType="end"/>
            </w:r>
          </w:hyperlink>
        </w:p>
        <w:p w14:paraId="74E55CB7" w14:textId="603649F6" w:rsidR="00496B3F" w:rsidRDefault="00521D4D">
          <w:pPr>
            <w:pStyle w:val="TOC2"/>
            <w:tabs>
              <w:tab w:val="right" w:leader="dot" w:pos="9350"/>
            </w:tabs>
            <w:rPr>
              <w:rFonts w:asciiTheme="minorHAnsi" w:eastAsiaTheme="minorEastAsia" w:hAnsiTheme="minorHAnsi" w:cstheme="minorBidi"/>
              <w:noProof/>
              <w:lang w:val="lv-LV" w:eastAsia="lv-LV"/>
            </w:rPr>
          </w:pPr>
          <w:hyperlink w:anchor="_Toc83667691" w:history="1">
            <w:r w:rsidR="00496B3F" w:rsidRPr="009E2FBA">
              <w:rPr>
                <w:rStyle w:val="Hyperlink"/>
                <w:rFonts w:ascii="Times New Roman" w:hAnsi="Times New Roman"/>
                <w:noProof/>
                <w:lang w:val="lv-LV"/>
              </w:rPr>
              <w:t>5.5 – ATBILDĪBAS MEHĀNISMA SLĒGŠANA: ATLIKUŠĀ BUDŽETA PĀRSKAITĪŠANA ATPAKAĻ</w:t>
            </w:r>
            <w:r w:rsidR="00496B3F">
              <w:rPr>
                <w:noProof/>
                <w:webHidden/>
              </w:rPr>
              <w:tab/>
            </w:r>
            <w:r w:rsidR="00496B3F">
              <w:rPr>
                <w:noProof/>
                <w:webHidden/>
              </w:rPr>
              <w:fldChar w:fldCharType="begin"/>
            </w:r>
            <w:r w:rsidR="00496B3F">
              <w:rPr>
                <w:noProof/>
                <w:webHidden/>
              </w:rPr>
              <w:instrText xml:space="preserve"> PAGEREF _Toc83667691 \h </w:instrText>
            </w:r>
            <w:r w:rsidR="00496B3F">
              <w:rPr>
                <w:noProof/>
                <w:webHidden/>
              </w:rPr>
            </w:r>
            <w:r w:rsidR="00496B3F">
              <w:rPr>
                <w:noProof/>
                <w:webHidden/>
              </w:rPr>
              <w:fldChar w:fldCharType="separate"/>
            </w:r>
            <w:r w:rsidR="00496B3F">
              <w:rPr>
                <w:noProof/>
                <w:webHidden/>
              </w:rPr>
              <w:t>11</w:t>
            </w:r>
            <w:r w:rsidR="00496B3F">
              <w:rPr>
                <w:noProof/>
                <w:webHidden/>
              </w:rPr>
              <w:fldChar w:fldCharType="end"/>
            </w:r>
          </w:hyperlink>
        </w:p>
        <w:p w14:paraId="1E22CE92" w14:textId="206DC1CB" w:rsidR="00496B3F" w:rsidRDefault="00521D4D">
          <w:pPr>
            <w:pStyle w:val="TOC2"/>
            <w:tabs>
              <w:tab w:val="right" w:leader="dot" w:pos="9350"/>
            </w:tabs>
            <w:rPr>
              <w:rFonts w:asciiTheme="minorHAnsi" w:eastAsiaTheme="minorEastAsia" w:hAnsiTheme="minorHAnsi" w:cstheme="minorBidi"/>
              <w:noProof/>
              <w:lang w:val="lv-LV" w:eastAsia="lv-LV"/>
            </w:rPr>
          </w:pPr>
          <w:hyperlink w:anchor="_Toc83667692" w:history="1">
            <w:r w:rsidR="00496B3F" w:rsidRPr="009E2FBA">
              <w:rPr>
                <w:rStyle w:val="Hyperlink"/>
                <w:rFonts w:ascii="Times New Roman" w:hAnsi="Times New Roman"/>
                <w:noProof/>
                <w:lang w:val="lv-LV"/>
              </w:rPr>
              <w:t>5.6. – MAKSAS UN PROCENTI</w:t>
            </w:r>
            <w:r w:rsidR="00496B3F">
              <w:rPr>
                <w:noProof/>
                <w:webHidden/>
              </w:rPr>
              <w:tab/>
            </w:r>
            <w:r w:rsidR="00496B3F">
              <w:rPr>
                <w:noProof/>
                <w:webHidden/>
              </w:rPr>
              <w:fldChar w:fldCharType="begin"/>
            </w:r>
            <w:r w:rsidR="00496B3F">
              <w:rPr>
                <w:noProof/>
                <w:webHidden/>
              </w:rPr>
              <w:instrText xml:space="preserve"> PAGEREF _Toc83667692 \h </w:instrText>
            </w:r>
            <w:r w:rsidR="00496B3F">
              <w:rPr>
                <w:noProof/>
                <w:webHidden/>
              </w:rPr>
            </w:r>
            <w:r w:rsidR="00496B3F">
              <w:rPr>
                <w:noProof/>
                <w:webHidden/>
              </w:rPr>
              <w:fldChar w:fldCharType="separate"/>
            </w:r>
            <w:r w:rsidR="00496B3F">
              <w:rPr>
                <w:noProof/>
                <w:webHidden/>
              </w:rPr>
              <w:t>11</w:t>
            </w:r>
            <w:r w:rsidR="00496B3F">
              <w:rPr>
                <w:noProof/>
                <w:webHidden/>
              </w:rPr>
              <w:fldChar w:fldCharType="end"/>
            </w:r>
          </w:hyperlink>
        </w:p>
        <w:p w14:paraId="385B74B5" w14:textId="36FDD629" w:rsidR="00496B3F" w:rsidRDefault="00521D4D">
          <w:pPr>
            <w:pStyle w:val="TOC2"/>
            <w:tabs>
              <w:tab w:val="right" w:leader="dot" w:pos="9350"/>
            </w:tabs>
            <w:rPr>
              <w:rFonts w:asciiTheme="minorHAnsi" w:eastAsiaTheme="minorEastAsia" w:hAnsiTheme="minorHAnsi" w:cstheme="minorBidi"/>
              <w:noProof/>
              <w:lang w:val="lv-LV" w:eastAsia="lv-LV"/>
            </w:rPr>
          </w:pPr>
          <w:hyperlink w:anchor="_Toc83667693" w:history="1">
            <w:r w:rsidR="00496B3F" w:rsidRPr="009E2FBA">
              <w:rPr>
                <w:rStyle w:val="Hyperlink"/>
                <w:rFonts w:ascii="Times New Roman" w:hAnsi="Times New Roman"/>
                <w:noProof/>
                <w:lang w:val="lv-LV"/>
              </w:rPr>
              <w:t>5.7 – PARTNERVALSTU LOMA ATBILDĪBAS MEHĀNISMĀ</w:t>
            </w:r>
            <w:r w:rsidR="00496B3F">
              <w:rPr>
                <w:noProof/>
                <w:webHidden/>
              </w:rPr>
              <w:tab/>
            </w:r>
            <w:r w:rsidR="00496B3F">
              <w:rPr>
                <w:noProof/>
                <w:webHidden/>
              </w:rPr>
              <w:fldChar w:fldCharType="begin"/>
            </w:r>
            <w:r w:rsidR="00496B3F">
              <w:rPr>
                <w:noProof/>
                <w:webHidden/>
              </w:rPr>
              <w:instrText xml:space="preserve"> PAGEREF _Toc83667693 \h </w:instrText>
            </w:r>
            <w:r w:rsidR="00496B3F">
              <w:rPr>
                <w:noProof/>
                <w:webHidden/>
              </w:rPr>
            </w:r>
            <w:r w:rsidR="00496B3F">
              <w:rPr>
                <w:noProof/>
                <w:webHidden/>
              </w:rPr>
              <w:fldChar w:fldCharType="separate"/>
            </w:r>
            <w:r w:rsidR="00496B3F">
              <w:rPr>
                <w:noProof/>
                <w:webHidden/>
              </w:rPr>
              <w:t>11</w:t>
            </w:r>
            <w:r w:rsidR="00496B3F">
              <w:rPr>
                <w:noProof/>
                <w:webHidden/>
              </w:rPr>
              <w:fldChar w:fldCharType="end"/>
            </w:r>
          </w:hyperlink>
        </w:p>
        <w:p w14:paraId="27990A0A" w14:textId="238375EC" w:rsidR="00496B3F" w:rsidRDefault="00521D4D">
          <w:pPr>
            <w:pStyle w:val="TOC1"/>
            <w:rPr>
              <w:rFonts w:asciiTheme="minorHAnsi" w:eastAsiaTheme="minorEastAsia" w:hAnsiTheme="minorHAnsi" w:cstheme="minorBidi"/>
              <w:b w:val="0"/>
              <w:noProof/>
              <w:sz w:val="22"/>
              <w:szCs w:val="22"/>
              <w:lang w:eastAsia="lv-LV"/>
            </w:rPr>
          </w:pPr>
          <w:hyperlink w:anchor="_Toc83667694" w:history="1">
            <w:r w:rsidR="00496B3F" w:rsidRPr="009E2FBA">
              <w:rPr>
                <w:rStyle w:val="Hyperlink"/>
                <w:noProof/>
              </w:rPr>
              <w:t>6. NODAĻA. LOMAS UN KĀRTĪBAS ATTIECĪBA UZ ATBILDĪBAS MEHĀNISMA FUNKCIONĒŠANU</w:t>
            </w:r>
            <w:r w:rsidR="00496B3F">
              <w:rPr>
                <w:noProof/>
                <w:webHidden/>
              </w:rPr>
              <w:tab/>
            </w:r>
            <w:r w:rsidR="00496B3F">
              <w:rPr>
                <w:noProof/>
                <w:webHidden/>
              </w:rPr>
              <w:fldChar w:fldCharType="begin"/>
            </w:r>
            <w:r w:rsidR="00496B3F">
              <w:rPr>
                <w:noProof/>
                <w:webHidden/>
              </w:rPr>
              <w:instrText xml:space="preserve"> PAGEREF _Toc83667694 \h </w:instrText>
            </w:r>
            <w:r w:rsidR="00496B3F">
              <w:rPr>
                <w:noProof/>
                <w:webHidden/>
              </w:rPr>
            </w:r>
            <w:r w:rsidR="00496B3F">
              <w:rPr>
                <w:noProof/>
                <w:webHidden/>
              </w:rPr>
              <w:fldChar w:fldCharType="separate"/>
            </w:r>
            <w:r w:rsidR="00496B3F">
              <w:rPr>
                <w:noProof/>
                <w:webHidden/>
              </w:rPr>
              <w:t>11</w:t>
            </w:r>
            <w:r w:rsidR="00496B3F">
              <w:rPr>
                <w:noProof/>
                <w:webHidden/>
              </w:rPr>
              <w:fldChar w:fldCharType="end"/>
            </w:r>
          </w:hyperlink>
        </w:p>
        <w:p w14:paraId="3522E3A5" w14:textId="5D923FE1" w:rsidR="00496B3F" w:rsidRDefault="00521D4D">
          <w:pPr>
            <w:pStyle w:val="TOC2"/>
            <w:tabs>
              <w:tab w:val="right" w:leader="dot" w:pos="9350"/>
            </w:tabs>
            <w:rPr>
              <w:rFonts w:asciiTheme="minorHAnsi" w:eastAsiaTheme="minorEastAsia" w:hAnsiTheme="minorHAnsi" w:cstheme="minorBidi"/>
              <w:noProof/>
              <w:lang w:val="lv-LV" w:eastAsia="lv-LV"/>
            </w:rPr>
          </w:pPr>
          <w:hyperlink w:anchor="_Toc83667695" w:history="1">
            <w:r w:rsidR="00496B3F" w:rsidRPr="009E2FBA">
              <w:rPr>
                <w:rStyle w:val="Hyperlink"/>
                <w:rFonts w:ascii="Times New Roman" w:hAnsi="Times New Roman"/>
                <w:noProof/>
                <w:lang w:val="lv-LV"/>
              </w:rPr>
              <w:t>6.1 – EKONOMISKA ADMINISTRĒŠANA UN KOPĪGA UZRAUDZĪBA</w:t>
            </w:r>
            <w:r w:rsidR="00496B3F">
              <w:rPr>
                <w:noProof/>
                <w:webHidden/>
              </w:rPr>
              <w:tab/>
            </w:r>
            <w:r w:rsidR="00496B3F">
              <w:rPr>
                <w:noProof/>
                <w:webHidden/>
              </w:rPr>
              <w:fldChar w:fldCharType="begin"/>
            </w:r>
            <w:r w:rsidR="00496B3F">
              <w:rPr>
                <w:noProof/>
                <w:webHidden/>
              </w:rPr>
              <w:instrText xml:space="preserve"> PAGEREF _Toc83667695 \h </w:instrText>
            </w:r>
            <w:r w:rsidR="00496B3F">
              <w:rPr>
                <w:noProof/>
                <w:webHidden/>
              </w:rPr>
            </w:r>
            <w:r w:rsidR="00496B3F">
              <w:rPr>
                <w:noProof/>
                <w:webHidden/>
              </w:rPr>
              <w:fldChar w:fldCharType="separate"/>
            </w:r>
            <w:r w:rsidR="00496B3F">
              <w:rPr>
                <w:noProof/>
                <w:webHidden/>
              </w:rPr>
              <w:t>11</w:t>
            </w:r>
            <w:r w:rsidR="00496B3F">
              <w:rPr>
                <w:noProof/>
                <w:webHidden/>
              </w:rPr>
              <w:fldChar w:fldCharType="end"/>
            </w:r>
          </w:hyperlink>
        </w:p>
        <w:p w14:paraId="16840BC2" w14:textId="6519D32C" w:rsidR="00496B3F" w:rsidRDefault="00521D4D">
          <w:pPr>
            <w:pStyle w:val="TOC2"/>
            <w:tabs>
              <w:tab w:val="right" w:leader="dot" w:pos="9350"/>
            </w:tabs>
            <w:rPr>
              <w:rFonts w:asciiTheme="minorHAnsi" w:eastAsiaTheme="minorEastAsia" w:hAnsiTheme="minorHAnsi" w:cstheme="minorBidi"/>
              <w:noProof/>
              <w:lang w:val="lv-LV" w:eastAsia="lv-LV"/>
            </w:rPr>
          </w:pPr>
          <w:hyperlink w:anchor="_Toc83667696" w:history="1">
            <w:r w:rsidR="00496B3F" w:rsidRPr="009E2FBA">
              <w:rPr>
                <w:rStyle w:val="Hyperlink"/>
                <w:rFonts w:ascii="Times New Roman" w:hAnsi="Times New Roman"/>
                <w:noProof/>
                <w:lang w:val="lv-LV"/>
              </w:rPr>
              <w:t>6.2 – PAR ATBILDĪBAS MEHĀNISMU ATBILDĪGĀS STRUKTŪRAS</w:t>
            </w:r>
            <w:r w:rsidR="00496B3F">
              <w:rPr>
                <w:noProof/>
                <w:webHidden/>
              </w:rPr>
              <w:tab/>
            </w:r>
            <w:r w:rsidR="00496B3F">
              <w:rPr>
                <w:noProof/>
                <w:webHidden/>
              </w:rPr>
              <w:fldChar w:fldCharType="begin"/>
            </w:r>
            <w:r w:rsidR="00496B3F">
              <w:rPr>
                <w:noProof/>
                <w:webHidden/>
              </w:rPr>
              <w:instrText xml:space="preserve"> PAGEREF _Toc83667696 \h </w:instrText>
            </w:r>
            <w:r w:rsidR="00496B3F">
              <w:rPr>
                <w:noProof/>
                <w:webHidden/>
              </w:rPr>
            </w:r>
            <w:r w:rsidR="00496B3F">
              <w:rPr>
                <w:noProof/>
                <w:webHidden/>
              </w:rPr>
              <w:fldChar w:fldCharType="separate"/>
            </w:r>
            <w:r w:rsidR="00496B3F">
              <w:rPr>
                <w:noProof/>
                <w:webHidden/>
              </w:rPr>
              <w:t>11</w:t>
            </w:r>
            <w:r w:rsidR="00496B3F">
              <w:rPr>
                <w:noProof/>
                <w:webHidden/>
              </w:rPr>
              <w:fldChar w:fldCharType="end"/>
            </w:r>
          </w:hyperlink>
        </w:p>
        <w:p w14:paraId="62C3CAA5" w14:textId="0C53C678" w:rsidR="00496B3F" w:rsidRDefault="00521D4D">
          <w:pPr>
            <w:pStyle w:val="TOC2"/>
            <w:tabs>
              <w:tab w:val="right" w:leader="dot" w:pos="9350"/>
            </w:tabs>
            <w:rPr>
              <w:rFonts w:asciiTheme="minorHAnsi" w:eastAsiaTheme="minorEastAsia" w:hAnsiTheme="minorHAnsi" w:cstheme="minorBidi"/>
              <w:noProof/>
              <w:lang w:val="lv-LV" w:eastAsia="lv-LV"/>
            </w:rPr>
          </w:pPr>
          <w:hyperlink w:anchor="_Toc83667697" w:history="1">
            <w:r w:rsidR="00496B3F" w:rsidRPr="009E2FBA">
              <w:rPr>
                <w:rStyle w:val="Hyperlink"/>
                <w:rFonts w:ascii="Times New Roman" w:hAnsi="Times New Roman"/>
                <w:noProof/>
                <w:lang w:val="lv-LV"/>
              </w:rPr>
              <w:t>6.3 – ATBILDĪBAS MEHĀNISMA FUNKCIONĒŠANA</w:t>
            </w:r>
            <w:r w:rsidR="00496B3F">
              <w:rPr>
                <w:noProof/>
                <w:webHidden/>
              </w:rPr>
              <w:tab/>
            </w:r>
            <w:r w:rsidR="00496B3F">
              <w:rPr>
                <w:noProof/>
                <w:webHidden/>
              </w:rPr>
              <w:fldChar w:fldCharType="begin"/>
            </w:r>
            <w:r w:rsidR="00496B3F">
              <w:rPr>
                <w:noProof/>
                <w:webHidden/>
              </w:rPr>
              <w:instrText xml:space="preserve"> PAGEREF _Toc83667697 \h </w:instrText>
            </w:r>
            <w:r w:rsidR="00496B3F">
              <w:rPr>
                <w:noProof/>
                <w:webHidden/>
              </w:rPr>
            </w:r>
            <w:r w:rsidR="00496B3F">
              <w:rPr>
                <w:noProof/>
                <w:webHidden/>
              </w:rPr>
              <w:fldChar w:fldCharType="separate"/>
            </w:r>
            <w:r w:rsidR="00496B3F">
              <w:rPr>
                <w:noProof/>
                <w:webHidden/>
              </w:rPr>
              <w:t>12</w:t>
            </w:r>
            <w:r w:rsidR="00496B3F">
              <w:rPr>
                <w:noProof/>
                <w:webHidden/>
              </w:rPr>
              <w:fldChar w:fldCharType="end"/>
            </w:r>
          </w:hyperlink>
        </w:p>
        <w:p w14:paraId="0C420C7D" w14:textId="7370E989" w:rsidR="00496B3F" w:rsidRDefault="00521D4D">
          <w:pPr>
            <w:pStyle w:val="TOC2"/>
            <w:tabs>
              <w:tab w:val="right" w:leader="dot" w:pos="9350"/>
            </w:tabs>
            <w:rPr>
              <w:rFonts w:asciiTheme="minorHAnsi" w:eastAsiaTheme="minorEastAsia" w:hAnsiTheme="minorHAnsi" w:cstheme="minorBidi"/>
              <w:noProof/>
              <w:lang w:val="lv-LV" w:eastAsia="lv-LV"/>
            </w:rPr>
          </w:pPr>
          <w:hyperlink w:anchor="_Toc83667698" w:history="1">
            <w:r w:rsidR="00496B3F" w:rsidRPr="009E2FBA">
              <w:rPr>
                <w:rStyle w:val="Hyperlink"/>
                <w:rFonts w:ascii="Times New Roman" w:hAnsi="Times New Roman"/>
                <w:noProof/>
                <w:lang w:val="lv-LV"/>
              </w:rPr>
              <w:t>6.4 – NEATTIECINĀMO IZDEVUMU PROPORCIJAS SAMAZINĀŠANAI VEIKTĀS DARBĪBAS</w:t>
            </w:r>
            <w:r w:rsidR="00496B3F">
              <w:rPr>
                <w:noProof/>
                <w:webHidden/>
              </w:rPr>
              <w:tab/>
            </w:r>
            <w:r w:rsidR="00496B3F">
              <w:rPr>
                <w:noProof/>
                <w:webHidden/>
              </w:rPr>
              <w:fldChar w:fldCharType="begin"/>
            </w:r>
            <w:r w:rsidR="00496B3F">
              <w:rPr>
                <w:noProof/>
                <w:webHidden/>
              </w:rPr>
              <w:instrText xml:space="preserve"> PAGEREF _Toc83667698 \h </w:instrText>
            </w:r>
            <w:r w:rsidR="00496B3F">
              <w:rPr>
                <w:noProof/>
                <w:webHidden/>
              </w:rPr>
            </w:r>
            <w:r w:rsidR="00496B3F">
              <w:rPr>
                <w:noProof/>
                <w:webHidden/>
              </w:rPr>
              <w:fldChar w:fldCharType="separate"/>
            </w:r>
            <w:r w:rsidR="00496B3F">
              <w:rPr>
                <w:noProof/>
                <w:webHidden/>
              </w:rPr>
              <w:t>13</w:t>
            </w:r>
            <w:r w:rsidR="00496B3F">
              <w:rPr>
                <w:noProof/>
                <w:webHidden/>
              </w:rPr>
              <w:fldChar w:fldCharType="end"/>
            </w:r>
          </w:hyperlink>
        </w:p>
        <w:p w14:paraId="5CE5C424" w14:textId="74E03828" w:rsidR="00496B3F" w:rsidRDefault="00521D4D">
          <w:pPr>
            <w:pStyle w:val="TOC2"/>
            <w:tabs>
              <w:tab w:val="right" w:leader="dot" w:pos="9350"/>
            </w:tabs>
            <w:rPr>
              <w:rFonts w:asciiTheme="minorHAnsi" w:eastAsiaTheme="minorEastAsia" w:hAnsiTheme="minorHAnsi" w:cstheme="minorBidi"/>
              <w:noProof/>
              <w:lang w:val="lv-LV" w:eastAsia="lv-LV"/>
            </w:rPr>
          </w:pPr>
          <w:hyperlink w:anchor="_Toc83667699" w:history="1">
            <w:r w:rsidR="00496B3F" w:rsidRPr="009E2FBA">
              <w:rPr>
                <w:rStyle w:val="Hyperlink"/>
                <w:rFonts w:ascii="Times New Roman" w:hAnsi="Times New Roman"/>
                <w:noProof/>
                <w:lang w:val="lv-LV"/>
              </w:rPr>
              <w:t>6.5 – KĀRTĒJO UN GALA ZIŅOJUMU SNIEGŠANA PAR ATBILDĪBAS MEHĀNISMU</w:t>
            </w:r>
            <w:r w:rsidR="00496B3F">
              <w:rPr>
                <w:noProof/>
                <w:webHidden/>
              </w:rPr>
              <w:tab/>
            </w:r>
            <w:r w:rsidR="00496B3F">
              <w:rPr>
                <w:noProof/>
                <w:webHidden/>
              </w:rPr>
              <w:fldChar w:fldCharType="begin"/>
            </w:r>
            <w:r w:rsidR="00496B3F">
              <w:rPr>
                <w:noProof/>
                <w:webHidden/>
              </w:rPr>
              <w:instrText xml:space="preserve"> PAGEREF _Toc83667699 \h </w:instrText>
            </w:r>
            <w:r w:rsidR="00496B3F">
              <w:rPr>
                <w:noProof/>
                <w:webHidden/>
              </w:rPr>
            </w:r>
            <w:r w:rsidR="00496B3F">
              <w:rPr>
                <w:noProof/>
                <w:webHidden/>
              </w:rPr>
              <w:fldChar w:fldCharType="separate"/>
            </w:r>
            <w:r w:rsidR="00496B3F">
              <w:rPr>
                <w:noProof/>
                <w:webHidden/>
              </w:rPr>
              <w:t>13</w:t>
            </w:r>
            <w:r w:rsidR="00496B3F">
              <w:rPr>
                <w:noProof/>
                <w:webHidden/>
              </w:rPr>
              <w:fldChar w:fldCharType="end"/>
            </w:r>
          </w:hyperlink>
        </w:p>
        <w:p w14:paraId="518F8FE8" w14:textId="75A283C6" w:rsidR="00CF5E67" w:rsidRPr="0035794B" w:rsidRDefault="00772B3A" w:rsidP="00CF5E67">
          <w:r>
            <w:rPr>
              <w:b/>
              <w:bCs/>
              <w:noProof/>
            </w:rPr>
            <w:fldChar w:fldCharType="end"/>
          </w:r>
        </w:p>
      </w:sdtContent>
    </w:sdt>
    <w:p w14:paraId="16771CFF" w14:textId="77777777" w:rsidR="00445959" w:rsidRDefault="00445959">
      <w:pPr>
        <w:spacing w:after="160" w:line="259" w:lineRule="auto"/>
        <w:rPr>
          <w:rFonts w:ascii="Times New Roman" w:hAnsi="Times New Roman"/>
          <w:b/>
          <w:bCs/>
          <w:sz w:val="24"/>
          <w:szCs w:val="24"/>
          <w:lang w:val="lv-LV"/>
        </w:rPr>
      </w:pPr>
      <w:bookmarkStart w:id="1" w:name="_Toc429386290"/>
      <w:r>
        <w:rPr>
          <w:rFonts w:ascii="Times New Roman" w:hAnsi="Times New Roman"/>
          <w:szCs w:val="24"/>
          <w:lang w:val="lv-LV"/>
        </w:rPr>
        <w:br w:type="page"/>
      </w:r>
    </w:p>
    <w:p w14:paraId="0B90A282" w14:textId="6AFD6776" w:rsidR="00CF5E67" w:rsidRPr="004C576C" w:rsidRDefault="00CF5E67" w:rsidP="00CF5E67">
      <w:pPr>
        <w:pStyle w:val="Heading1"/>
        <w:rPr>
          <w:rFonts w:ascii="Times New Roman" w:hAnsi="Times New Roman"/>
          <w:szCs w:val="24"/>
          <w:lang w:val="lv-LV"/>
        </w:rPr>
      </w:pPr>
      <w:bookmarkStart w:id="2" w:name="_Toc83667673"/>
      <w:r w:rsidRPr="004C576C">
        <w:rPr>
          <w:rFonts w:ascii="Times New Roman" w:hAnsi="Times New Roman"/>
          <w:szCs w:val="24"/>
          <w:lang w:val="lv-LV"/>
        </w:rPr>
        <w:lastRenderedPageBreak/>
        <w:t>1. NODAĻA. PRIEKŠMETS</w:t>
      </w:r>
      <w:bookmarkEnd w:id="1"/>
      <w:bookmarkEnd w:id="2"/>
    </w:p>
    <w:p w14:paraId="46B705EE" w14:textId="77777777" w:rsidR="00CF5E67" w:rsidRPr="004C576C" w:rsidRDefault="00CF5E67" w:rsidP="00CF5E67">
      <w:pPr>
        <w:pStyle w:val="Heading2"/>
        <w:keepNext/>
        <w:rPr>
          <w:rFonts w:ascii="Times New Roman" w:hAnsi="Times New Roman"/>
          <w:sz w:val="24"/>
          <w:szCs w:val="24"/>
          <w:lang w:val="lv-LV"/>
        </w:rPr>
      </w:pPr>
      <w:bookmarkStart w:id="3" w:name="_Toc429386291"/>
      <w:bookmarkStart w:id="4" w:name="_Toc83667674"/>
      <w:r w:rsidRPr="004C576C">
        <w:rPr>
          <w:rFonts w:ascii="Times New Roman" w:hAnsi="Times New Roman"/>
          <w:sz w:val="24"/>
          <w:szCs w:val="24"/>
          <w:lang w:val="lv-LV"/>
        </w:rPr>
        <w:t>1.1 – ĪPAŠAIS ESPON GADĪJUMS</w:t>
      </w:r>
      <w:bookmarkEnd w:id="3"/>
      <w:bookmarkEnd w:id="4"/>
    </w:p>
    <w:p w14:paraId="766B57D8" w14:textId="189DEAA8"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ETS programmu ietvaros atbildība finansiālu korekciju gadījumā parasti ir saistīta ar katra atbalsta saņēmēja izcelsmes valsti. Tā kā atbalsta saņēmēji ir izplatīti pa visu ETS programmas attiecināmo teritoriju, arī atbildība ir automātiski sadalīta pa visu programmas teritoriju (t. i. iedalīta valstij, kurā atrodas atbalsta saņēmējs). Taču </w:t>
      </w:r>
      <w:r>
        <w:rPr>
          <w:rFonts w:ascii="Times New Roman" w:hAnsi="Times New Roman"/>
          <w:sz w:val="24"/>
          <w:szCs w:val="24"/>
          <w:lang w:val="lv-LV"/>
        </w:rPr>
        <w:t>“</w:t>
      </w:r>
      <w:r w:rsidRPr="004C576C">
        <w:rPr>
          <w:rFonts w:ascii="Times New Roman" w:hAnsi="Times New Roman"/>
          <w:sz w:val="24"/>
          <w:szCs w:val="24"/>
          <w:lang w:val="lv-LV"/>
        </w:rPr>
        <w:t>ESPON 20</w:t>
      </w:r>
      <w:r>
        <w:rPr>
          <w:rFonts w:ascii="Times New Roman" w:hAnsi="Times New Roman"/>
          <w:sz w:val="24"/>
          <w:szCs w:val="24"/>
          <w:lang w:val="lv-LV"/>
        </w:rPr>
        <w:t>3</w:t>
      </w:r>
      <w:r w:rsidRPr="004C576C">
        <w:rPr>
          <w:rFonts w:ascii="Times New Roman" w:hAnsi="Times New Roman"/>
          <w:sz w:val="24"/>
          <w:szCs w:val="24"/>
          <w:lang w:val="lv-LV"/>
        </w:rPr>
        <w:t>0</w:t>
      </w:r>
      <w:r>
        <w:rPr>
          <w:rFonts w:ascii="Times New Roman" w:hAnsi="Times New Roman"/>
          <w:sz w:val="24"/>
          <w:szCs w:val="24"/>
          <w:lang w:val="lv-LV"/>
        </w:rPr>
        <w:t>”</w:t>
      </w:r>
      <w:r w:rsidRPr="004C576C">
        <w:rPr>
          <w:rFonts w:ascii="Times New Roman" w:hAnsi="Times New Roman"/>
          <w:sz w:val="24"/>
          <w:szCs w:val="24"/>
          <w:lang w:val="lv-LV"/>
        </w:rPr>
        <w:t xml:space="preserve"> </w:t>
      </w:r>
      <w:r w:rsidR="001C601D">
        <w:rPr>
          <w:rFonts w:ascii="Times New Roman" w:hAnsi="Times New Roman"/>
          <w:sz w:val="24"/>
          <w:szCs w:val="24"/>
          <w:lang w:val="lv-LV"/>
        </w:rPr>
        <w:t>p</w:t>
      </w:r>
      <w:r w:rsidRPr="004C576C">
        <w:rPr>
          <w:rFonts w:ascii="Times New Roman" w:hAnsi="Times New Roman"/>
          <w:sz w:val="24"/>
          <w:szCs w:val="24"/>
          <w:lang w:val="lv-LV"/>
        </w:rPr>
        <w:t>rogrammas gadījumā</w:t>
      </w:r>
      <w:r w:rsidR="00F15832">
        <w:rPr>
          <w:rFonts w:ascii="Times New Roman" w:hAnsi="Times New Roman"/>
          <w:sz w:val="24"/>
          <w:szCs w:val="24"/>
          <w:lang w:val="lv-LV"/>
        </w:rPr>
        <w:t xml:space="preserve"> </w:t>
      </w:r>
      <w:r w:rsidRPr="004C576C">
        <w:rPr>
          <w:rFonts w:ascii="Times New Roman" w:hAnsi="Times New Roman"/>
          <w:sz w:val="24"/>
          <w:szCs w:val="24"/>
          <w:lang w:val="lv-LV"/>
        </w:rPr>
        <w:t>situācija</w:t>
      </w:r>
      <w:r w:rsidR="00F15832">
        <w:rPr>
          <w:rFonts w:ascii="Times New Roman" w:hAnsi="Times New Roman"/>
          <w:sz w:val="24"/>
          <w:szCs w:val="24"/>
          <w:lang w:val="lv-LV"/>
        </w:rPr>
        <w:t xml:space="preserve"> ir cita</w:t>
      </w:r>
      <w:r w:rsidRPr="004C576C">
        <w:rPr>
          <w:rFonts w:ascii="Times New Roman" w:hAnsi="Times New Roman"/>
          <w:sz w:val="24"/>
          <w:szCs w:val="24"/>
          <w:lang w:val="lv-LV"/>
        </w:rPr>
        <w:t xml:space="preserve">, jo saskaņā ar ETS Regulas </w:t>
      </w:r>
      <w:r>
        <w:rPr>
          <w:rFonts w:ascii="Times New Roman" w:hAnsi="Times New Roman"/>
          <w:sz w:val="24"/>
          <w:szCs w:val="24"/>
          <w:lang w:val="lv-LV"/>
        </w:rPr>
        <w:t>23.panta 6.punktu tikai viens partneris nodrošina “ESPON 2030”</w:t>
      </w:r>
      <w:r w:rsidR="006D59B2">
        <w:rPr>
          <w:rFonts w:ascii="Times New Roman" w:hAnsi="Times New Roman"/>
          <w:sz w:val="24"/>
          <w:szCs w:val="24"/>
          <w:lang w:val="lv-LV"/>
        </w:rPr>
        <w:t xml:space="preserve"> programma</w:t>
      </w:r>
      <w:r w:rsidR="008B3E98">
        <w:rPr>
          <w:rFonts w:ascii="Times New Roman" w:hAnsi="Times New Roman"/>
          <w:sz w:val="24"/>
          <w:szCs w:val="24"/>
          <w:lang w:val="lv-LV"/>
        </w:rPr>
        <w:t>s</w:t>
      </w:r>
      <w:r>
        <w:rPr>
          <w:rFonts w:ascii="Times New Roman" w:hAnsi="Times New Roman"/>
          <w:sz w:val="24"/>
          <w:szCs w:val="24"/>
          <w:lang w:val="lv-LV"/>
        </w:rPr>
        <w:t xml:space="preserve"> Vienīg</w:t>
      </w:r>
      <w:r w:rsidR="006D59B2">
        <w:rPr>
          <w:rFonts w:ascii="Times New Roman" w:hAnsi="Times New Roman"/>
          <w:sz w:val="24"/>
          <w:szCs w:val="24"/>
          <w:lang w:val="lv-LV"/>
        </w:rPr>
        <w:t>o</w:t>
      </w:r>
      <w:r>
        <w:rPr>
          <w:rFonts w:ascii="Times New Roman" w:hAnsi="Times New Roman"/>
          <w:sz w:val="24"/>
          <w:szCs w:val="24"/>
          <w:lang w:val="lv-LV"/>
        </w:rPr>
        <w:t xml:space="preserve"> darbīb</w:t>
      </w:r>
      <w:r w:rsidR="006D59B2">
        <w:rPr>
          <w:rFonts w:ascii="Times New Roman" w:hAnsi="Times New Roman"/>
          <w:sz w:val="24"/>
          <w:szCs w:val="24"/>
          <w:lang w:val="lv-LV"/>
        </w:rPr>
        <w:t>u</w:t>
      </w:r>
      <w:r>
        <w:rPr>
          <w:rFonts w:ascii="Times New Roman" w:hAnsi="Times New Roman"/>
          <w:sz w:val="24"/>
          <w:szCs w:val="24"/>
          <w:lang w:val="lv-LV"/>
        </w:rPr>
        <w:t>,</w:t>
      </w:r>
      <w:r w:rsidR="001C601D">
        <w:rPr>
          <w:rFonts w:ascii="Times New Roman" w:hAnsi="Times New Roman"/>
          <w:sz w:val="24"/>
          <w:szCs w:val="24"/>
          <w:lang w:val="lv-LV"/>
        </w:rPr>
        <w:t xml:space="preserve"> </w:t>
      </w:r>
      <w:r w:rsidRPr="004C576C">
        <w:rPr>
          <w:rFonts w:ascii="Times New Roman" w:hAnsi="Times New Roman"/>
          <w:sz w:val="24"/>
          <w:szCs w:val="24"/>
          <w:lang w:val="lv-LV"/>
        </w:rPr>
        <w:t>k</w:t>
      </w:r>
      <w:r>
        <w:rPr>
          <w:rFonts w:ascii="Times New Roman" w:hAnsi="Times New Roman"/>
          <w:sz w:val="24"/>
          <w:szCs w:val="24"/>
          <w:lang w:val="lv-LV"/>
        </w:rPr>
        <w:t>as</w:t>
      </w:r>
      <w:r w:rsidRPr="004C576C">
        <w:rPr>
          <w:rFonts w:ascii="Times New Roman" w:hAnsi="Times New Roman"/>
          <w:sz w:val="24"/>
          <w:szCs w:val="24"/>
          <w:lang w:val="lv-LV"/>
        </w:rPr>
        <w:t xml:space="preserve"> noteikt</w:t>
      </w:r>
      <w:r>
        <w:rPr>
          <w:rFonts w:ascii="Times New Roman" w:hAnsi="Times New Roman"/>
          <w:sz w:val="24"/>
          <w:szCs w:val="24"/>
          <w:lang w:val="lv-LV"/>
        </w:rPr>
        <w:t>s</w:t>
      </w:r>
      <w:r w:rsidRPr="004C576C">
        <w:rPr>
          <w:rFonts w:ascii="Times New Roman" w:hAnsi="Times New Roman"/>
          <w:sz w:val="24"/>
          <w:szCs w:val="24"/>
          <w:lang w:val="lv-LV"/>
        </w:rPr>
        <w:t xml:space="preserve"> </w:t>
      </w:r>
      <w:r w:rsidR="00E9545A">
        <w:rPr>
          <w:rFonts w:ascii="Times New Roman" w:hAnsi="Times New Roman"/>
          <w:sz w:val="24"/>
          <w:szCs w:val="24"/>
          <w:lang w:val="lv-LV"/>
        </w:rPr>
        <w:t>Dotāciju</w:t>
      </w:r>
      <w:r w:rsidRPr="004C576C">
        <w:rPr>
          <w:rFonts w:ascii="Times New Roman" w:hAnsi="Times New Roman"/>
          <w:sz w:val="24"/>
          <w:szCs w:val="24"/>
          <w:lang w:val="lv-LV"/>
        </w:rPr>
        <w:t xml:space="preserve"> </w:t>
      </w:r>
      <w:r w:rsidR="00E9545A">
        <w:rPr>
          <w:rFonts w:ascii="Times New Roman" w:hAnsi="Times New Roman"/>
          <w:sz w:val="24"/>
          <w:szCs w:val="24"/>
          <w:lang w:val="lv-LV"/>
        </w:rPr>
        <w:t>no</w:t>
      </w:r>
      <w:r w:rsidRPr="004C576C">
        <w:rPr>
          <w:rFonts w:ascii="Times New Roman" w:hAnsi="Times New Roman"/>
          <w:sz w:val="24"/>
          <w:szCs w:val="24"/>
          <w:lang w:val="lv-LV"/>
        </w:rPr>
        <w:t>līgumā</w:t>
      </w:r>
      <w:r>
        <w:rPr>
          <w:rFonts w:ascii="Times New Roman" w:hAnsi="Times New Roman"/>
          <w:sz w:val="24"/>
          <w:szCs w:val="24"/>
          <w:lang w:val="lv-LV"/>
        </w:rPr>
        <w:t>,</w:t>
      </w:r>
      <w:r w:rsidRPr="00AF257C">
        <w:rPr>
          <w:rFonts w:ascii="Times New Roman" w:hAnsi="Times New Roman"/>
          <w:sz w:val="24"/>
          <w:szCs w:val="24"/>
          <w:lang w:val="lv-LV"/>
        </w:rPr>
        <w:t xml:space="preserve"> </w:t>
      </w:r>
      <w:r>
        <w:rPr>
          <w:rFonts w:ascii="Times New Roman" w:hAnsi="Times New Roman"/>
          <w:sz w:val="24"/>
          <w:szCs w:val="24"/>
          <w:lang w:val="lv-LV"/>
        </w:rPr>
        <w:t>īstenošanu</w:t>
      </w:r>
      <w:r w:rsidRPr="004C576C">
        <w:rPr>
          <w:rFonts w:ascii="Times New Roman" w:hAnsi="Times New Roman"/>
          <w:sz w:val="24"/>
          <w:szCs w:val="24"/>
          <w:lang w:val="lv-LV"/>
        </w:rPr>
        <w:t>. Šī</w:t>
      </w:r>
      <w:r>
        <w:rPr>
          <w:rFonts w:ascii="Times New Roman" w:hAnsi="Times New Roman"/>
          <w:sz w:val="24"/>
          <w:szCs w:val="24"/>
          <w:lang w:val="lv-LV"/>
        </w:rPr>
        <w:t xml:space="preserve"> vienīgā partnera</w:t>
      </w:r>
      <w:r w:rsidRPr="004C576C">
        <w:rPr>
          <w:rFonts w:ascii="Times New Roman" w:hAnsi="Times New Roman"/>
          <w:sz w:val="24"/>
          <w:szCs w:val="24"/>
          <w:lang w:val="lv-LV"/>
        </w:rPr>
        <w:t xml:space="preserve"> loma ir jāuzņemas “ESPON Eiropas teritoriālās sadarbības grupai” (turpmāk − </w:t>
      </w:r>
      <w:r w:rsidRPr="004C576C">
        <w:rPr>
          <w:rFonts w:ascii="Times New Roman" w:hAnsi="Times New Roman"/>
          <w:sz w:val="24"/>
          <w:szCs w:val="24"/>
          <w:u w:val="single"/>
          <w:lang w:val="lv-LV"/>
        </w:rPr>
        <w:t>ESPON ETSG</w:t>
      </w:r>
      <w:r w:rsidRPr="004C576C">
        <w:rPr>
          <w:rFonts w:ascii="Times New Roman" w:hAnsi="Times New Roman"/>
          <w:sz w:val="24"/>
          <w:szCs w:val="24"/>
          <w:lang w:val="lv-LV"/>
        </w:rPr>
        <w:t>).</w:t>
      </w:r>
    </w:p>
    <w:p w14:paraId="0F15F840" w14:textId="3DEA723E"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ESPON ETSG ir izveidota nolūkā saņemt </w:t>
      </w:r>
      <w:r w:rsidR="000E654A">
        <w:rPr>
          <w:rFonts w:ascii="Times New Roman" w:hAnsi="Times New Roman"/>
          <w:sz w:val="24"/>
          <w:szCs w:val="24"/>
          <w:lang w:val="lv-LV"/>
        </w:rPr>
        <w:t>Dotāciju</w:t>
      </w:r>
      <w:r w:rsidRPr="004C576C">
        <w:rPr>
          <w:rFonts w:ascii="Times New Roman" w:hAnsi="Times New Roman"/>
          <w:sz w:val="24"/>
          <w:szCs w:val="24"/>
          <w:lang w:val="lv-LV"/>
        </w:rPr>
        <w:t xml:space="preserve"> </w:t>
      </w:r>
      <w:r w:rsidR="000E654A">
        <w:rPr>
          <w:rFonts w:ascii="Times New Roman" w:hAnsi="Times New Roman"/>
          <w:sz w:val="24"/>
          <w:szCs w:val="24"/>
          <w:lang w:val="lv-LV"/>
        </w:rPr>
        <w:t>no</w:t>
      </w:r>
      <w:r w:rsidRPr="004C576C">
        <w:rPr>
          <w:rFonts w:ascii="Times New Roman" w:hAnsi="Times New Roman"/>
          <w:sz w:val="24"/>
          <w:szCs w:val="24"/>
          <w:lang w:val="lv-LV"/>
        </w:rPr>
        <w:t xml:space="preserve">līgumu un īstenot Vienīgo darbību ESPON Uzraudzības komitejas uzraudzībā un vadībā. Lai nodrošinātu efektīvu un ekonomisku ESPON ETSG organizēšanu, ierobežotam valstu/reģionu skaitam tika piedāvāts kļūt par ESPON ETSG dalībniekiem, kas uzņemtos šo uzdevumu visu </w:t>
      </w:r>
      <w:r w:rsidR="007134F0">
        <w:rPr>
          <w:rFonts w:ascii="Times New Roman" w:hAnsi="Times New Roman"/>
          <w:sz w:val="24"/>
          <w:szCs w:val="24"/>
          <w:lang w:val="lv-LV"/>
        </w:rPr>
        <w:t>“</w:t>
      </w:r>
      <w:r w:rsidRPr="004C576C">
        <w:rPr>
          <w:rFonts w:ascii="Times New Roman" w:hAnsi="Times New Roman"/>
          <w:sz w:val="24"/>
          <w:szCs w:val="24"/>
          <w:lang w:val="lv-LV"/>
        </w:rPr>
        <w:t>ESPON 20</w:t>
      </w:r>
      <w:r>
        <w:rPr>
          <w:rFonts w:ascii="Times New Roman" w:hAnsi="Times New Roman"/>
          <w:sz w:val="24"/>
          <w:szCs w:val="24"/>
          <w:lang w:val="lv-LV"/>
        </w:rPr>
        <w:t>3</w:t>
      </w:r>
      <w:r w:rsidRPr="004C576C">
        <w:rPr>
          <w:rFonts w:ascii="Times New Roman" w:hAnsi="Times New Roman"/>
          <w:sz w:val="24"/>
          <w:szCs w:val="24"/>
          <w:lang w:val="lv-LV"/>
        </w:rPr>
        <w:t>0</w:t>
      </w:r>
      <w:r w:rsidR="007134F0">
        <w:rPr>
          <w:rFonts w:ascii="Times New Roman" w:hAnsi="Times New Roman"/>
          <w:sz w:val="24"/>
          <w:szCs w:val="24"/>
          <w:lang w:val="lv-LV"/>
        </w:rPr>
        <w:t>”</w:t>
      </w:r>
      <w:r w:rsidRPr="004C576C">
        <w:rPr>
          <w:rFonts w:ascii="Times New Roman" w:hAnsi="Times New Roman"/>
          <w:sz w:val="24"/>
          <w:szCs w:val="24"/>
          <w:lang w:val="lv-LV"/>
        </w:rPr>
        <w:t xml:space="preserve"> programmā iesaistīto valstu labā. </w:t>
      </w:r>
      <w:r>
        <w:rPr>
          <w:rFonts w:ascii="Times New Roman" w:hAnsi="Times New Roman"/>
          <w:sz w:val="24"/>
          <w:szCs w:val="24"/>
          <w:lang w:val="lv-LV"/>
        </w:rPr>
        <w:t xml:space="preserve">ESPON ETSG dalībnieku lokā ietverti </w:t>
      </w:r>
      <w:r w:rsidRPr="004C576C">
        <w:rPr>
          <w:rFonts w:ascii="Times New Roman" w:hAnsi="Times New Roman"/>
          <w:sz w:val="24"/>
          <w:szCs w:val="24"/>
          <w:lang w:val="lv-LV"/>
        </w:rPr>
        <w:t xml:space="preserve">Beļģijas reģioni Brisele, Flandrija un </w:t>
      </w:r>
      <w:proofErr w:type="spellStart"/>
      <w:r w:rsidRPr="004C576C">
        <w:rPr>
          <w:rFonts w:ascii="Times New Roman" w:hAnsi="Times New Roman"/>
          <w:sz w:val="24"/>
          <w:szCs w:val="24"/>
          <w:lang w:val="lv-LV"/>
        </w:rPr>
        <w:t>Valonija</w:t>
      </w:r>
      <w:proofErr w:type="spellEnd"/>
      <w:r w:rsidRPr="004C576C">
        <w:rPr>
          <w:rFonts w:ascii="Times New Roman" w:hAnsi="Times New Roman"/>
          <w:sz w:val="24"/>
          <w:szCs w:val="24"/>
          <w:lang w:val="lv-LV"/>
        </w:rPr>
        <w:t xml:space="preserve"> un Luksemburgas Lielhercogiste, tādējādi uzņemoties atbildību par ESPON ETSG. Piemērojot ETSG Regulu striktā veidā, šī institucionālā iekārta paredz, ka tikai ESPON ETSG dalībniekiem tiktu uzlikta pilna atbildība par visām aktivitātēm sakarā ar </w:t>
      </w:r>
      <w:r w:rsidR="00E9545A">
        <w:rPr>
          <w:rFonts w:ascii="Times New Roman" w:hAnsi="Times New Roman"/>
          <w:sz w:val="24"/>
          <w:szCs w:val="24"/>
          <w:lang w:val="lv-LV"/>
        </w:rPr>
        <w:t>Dotāciju</w:t>
      </w:r>
      <w:r w:rsidRPr="004C576C">
        <w:rPr>
          <w:rFonts w:ascii="Times New Roman" w:hAnsi="Times New Roman"/>
          <w:sz w:val="24"/>
          <w:szCs w:val="24"/>
          <w:lang w:val="lv-LV"/>
        </w:rPr>
        <w:t xml:space="preserve"> </w:t>
      </w:r>
      <w:r w:rsidR="00E9545A">
        <w:rPr>
          <w:rFonts w:ascii="Times New Roman" w:hAnsi="Times New Roman"/>
          <w:sz w:val="24"/>
          <w:szCs w:val="24"/>
          <w:lang w:val="lv-LV"/>
        </w:rPr>
        <w:t>no</w:t>
      </w:r>
      <w:r w:rsidRPr="004C576C">
        <w:rPr>
          <w:rFonts w:ascii="Times New Roman" w:hAnsi="Times New Roman"/>
          <w:sz w:val="24"/>
          <w:szCs w:val="24"/>
          <w:lang w:val="lv-LV"/>
        </w:rPr>
        <w:t xml:space="preserve">līguma īstenošanu, lai gan visas aktivitātes tiek īstenotas, lai kalpotu visām </w:t>
      </w:r>
      <w:r>
        <w:rPr>
          <w:rFonts w:ascii="Times New Roman" w:hAnsi="Times New Roman"/>
          <w:sz w:val="24"/>
          <w:szCs w:val="24"/>
          <w:lang w:val="lv-LV"/>
        </w:rPr>
        <w:t>“</w:t>
      </w:r>
      <w:r w:rsidRPr="004C576C">
        <w:rPr>
          <w:rFonts w:ascii="Times New Roman" w:hAnsi="Times New Roman"/>
          <w:sz w:val="24"/>
          <w:szCs w:val="24"/>
          <w:lang w:val="lv-LV"/>
        </w:rPr>
        <w:t>ESPON 20</w:t>
      </w:r>
      <w:r>
        <w:rPr>
          <w:rFonts w:ascii="Times New Roman" w:hAnsi="Times New Roman"/>
          <w:sz w:val="24"/>
          <w:szCs w:val="24"/>
          <w:lang w:val="lv-LV"/>
        </w:rPr>
        <w:t>3</w:t>
      </w:r>
      <w:r w:rsidRPr="004C576C">
        <w:rPr>
          <w:rFonts w:ascii="Times New Roman" w:hAnsi="Times New Roman"/>
          <w:sz w:val="24"/>
          <w:szCs w:val="24"/>
          <w:lang w:val="lv-LV"/>
        </w:rPr>
        <w:t>0</w:t>
      </w:r>
      <w:r>
        <w:rPr>
          <w:rFonts w:ascii="Times New Roman" w:hAnsi="Times New Roman"/>
          <w:sz w:val="24"/>
          <w:szCs w:val="24"/>
          <w:lang w:val="lv-LV"/>
        </w:rPr>
        <w:t>”</w:t>
      </w:r>
      <w:r w:rsidR="007134F0">
        <w:rPr>
          <w:rFonts w:ascii="Times New Roman" w:hAnsi="Times New Roman"/>
          <w:sz w:val="24"/>
          <w:szCs w:val="24"/>
          <w:lang w:val="lv-LV"/>
        </w:rPr>
        <w:t xml:space="preserve"> </w:t>
      </w:r>
      <w:r w:rsidRPr="004C576C">
        <w:rPr>
          <w:rFonts w:ascii="Times New Roman" w:hAnsi="Times New Roman"/>
          <w:sz w:val="24"/>
          <w:szCs w:val="24"/>
          <w:lang w:val="lv-LV"/>
        </w:rPr>
        <w:t xml:space="preserve">programmā pārstāvētajām </w:t>
      </w:r>
      <w:r w:rsidR="00736885">
        <w:rPr>
          <w:rFonts w:ascii="Times New Roman" w:hAnsi="Times New Roman"/>
          <w:sz w:val="24"/>
          <w:szCs w:val="24"/>
          <w:lang w:val="lv-LV"/>
        </w:rPr>
        <w:t>d</w:t>
      </w:r>
      <w:r>
        <w:rPr>
          <w:rFonts w:ascii="Times New Roman" w:hAnsi="Times New Roman"/>
          <w:sz w:val="24"/>
          <w:szCs w:val="24"/>
          <w:lang w:val="lv-LV"/>
        </w:rPr>
        <w:t>alīb</w:t>
      </w:r>
      <w:r w:rsidRPr="004C576C">
        <w:rPr>
          <w:rFonts w:ascii="Times New Roman" w:hAnsi="Times New Roman"/>
          <w:sz w:val="24"/>
          <w:szCs w:val="24"/>
          <w:lang w:val="lv-LV"/>
        </w:rPr>
        <w:t>valstīm</w:t>
      </w:r>
      <w:r>
        <w:rPr>
          <w:rFonts w:ascii="Times New Roman" w:hAnsi="Times New Roman"/>
          <w:sz w:val="24"/>
          <w:szCs w:val="24"/>
          <w:lang w:val="lv-LV"/>
        </w:rPr>
        <w:t xml:space="preserve"> un </w:t>
      </w:r>
      <w:r w:rsidR="00736885">
        <w:rPr>
          <w:rFonts w:ascii="Times New Roman" w:hAnsi="Times New Roman"/>
          <w:sz w:val="24"/>
          <w:szCs w:val="24"/>
          <w:lang w:val="lv-LV"/>
        </w:rPr>
        <w:t>p</w:t>
      </w:r>
      <w:r>
        <w:rPr>
          <w:rFonts w:ascii="Times New Roman" w:hAnsi="Times New Roman"/>
          <w:sz w:val="24"/>
          <w:szCs w:val="24"/>
          <w:lang w:val="lv-LV"/>
        </w:rPr>
        <w:t>artnervalstīm</w:t>
      </w:r>
      <w:r w:rsidRPr="004C576C">
        <w:rPr>
          <w:rFonts w:ascii="Times New Roman" w:hAnsi="Times New Roman"/>
          <w:sz w:val="24"/>
          <w:szCs w:val="24"/>
          <w:lang w:val="lv-LV"/>
        </w:rPr>
        <w:t>.</w:t>
      </w:r>
    </w:p>
    <w:p w14:paraId="58E16F9D" w14:textId="0033DBB5" w:rsidR="00CF5E67" w:rsidRPr="004C576C" w:rsidRDefault="00CF5E67" w:rsidP="00CF5E67">
      <w:pPr>
        <w:pStyle w:val="Heading2"/>
        <w:rPr>
          <w:rFonts w:ascii="Times New Roman" w:hAnsi="Times New Roman"/>
          <w:sz w:val="24"/>
          <w:szCs w:val="24"/>
          <w:lang w:val="lv-LV"/>
        </w:rPr>
      </w:pPr>
      <w:bookmarkStart w:id="5" w:name="_Toc429386292"/>
      <w:bookmarkStart w:id="6" w:name="_Toc83667675"/>
      <w:r w:rsidRPr="004C576C">
        <w:rPr>
          <w:rFonts w:ascii="Times New Roman" w:hAnsi="Times New Roman"/>
          <w:sz w:val="24"/>
          <w:szCs w:val="24"/>
          <w:lang w:val="lv-LV"/>
        </w:rPr>
        <w:t xml:space="preserve">1.2 – </w:t>
      </w:r>
      <w:r w:rsidR="00872633">
        <w:rPr>
          <w:rFonts w:ascii="Times New Roman" w:hAnsi="Times New Roman"/>
          <w:sz w:val="24"/>
          <w:szCs w:val="24"/>
          <w:lang w:val="lv-LV"/>
        </w:rPr>
        <w:t xml:space="preserve">RISKA </w:t>
      </w:r>
      <w:r w:rsidRPr="004C576C">
        <w:rPr>
          <w:rFonts w:ascii="Times New Roman" w:hAnsi="Times New Roman"/>
          <w:sz w:val="24"/>
          <w:szCs w:val="24"/>
          <w:lang w:val="lv-LV"/>
        </w:rPr>
        <w:t>ATBILDĪBAS MEHĀNISMS</w:t>
      </w:r>
      <w:bookmarkEnd w:id="5"/>
      <w:bookmarkEnd w:id="6"/>
    </w:p>
    <w:p w14:paraId="5B83B4FF" w14:textId="2EC35B8F" w:rsidR="00CF5E67"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Lai sniegtu garantiju iespējamām finansiālām sekām sakarā ar neattiecināmām izmaksām, kādas radušās ESPON ETSG, īstenojot </w:t>
      </w:r>
      <w:r w:rsidR="00E9545A">
        <w:rPr>
          <w:rFonts w:ascii="Times New Roman" w:hAnsi="Times New Roman"/>
          <w:sz w:val="24"/>
          <w:szCs w:val="24"/>
          <w:lang w:val="lv-LV"/>
        </w:rPr>
        <w:t>Dotāciju</w:t>
      </w:r>
      <w:r w:rsidRPr="004C576C">
        <w:rPr>
          <w:rFonts w:ascii="Times New Roman" w:hAnsi="Times New Roman"/>
          <w:sz w:val="24"/>
          <w:szCs w:val="24"/>
          <w:lang w:val="lv-LV"/>
        </w:rPr>
        <w:t xml:space="preserve"> </w:t>
      </w:r>
      <w:r w:rsidR="00E9545A">
        <w:rPr>
          <w:rFonts w:ascii="Times New Roman" w:hAnsi="Times New Roman"/>
          <w:sz w:val="24"/>
          <w:szCs w:val="24"/>
          <w:lang w:val="lv-LV"/>
        </w:rPr>
        <w:t>no</w:t>
      </w:r>
      <w:r w:rsidRPr="004C576C">
        <w:rPr>
          <w:rFonts w:ascii="Times New Roman" w:hAnsi="Times New Roman"/>
          <w:sz w:val="24"/>
          <w:szCs w:val="24"/>
          <w:lang w:val="lv-LV"/>
        </w:rPr>
        <w:t xml:space="preserve">līgumu kā Vienīgajam atbalsta saņēmējam, </w:t>
      </w:r>
      <w:r>
        <w:rPr>
          <w:rFonts w:ascii="Times New Roman" w:hAnsi="Times New Roman"/>
          <w:sz w:val="24"/>
          <w:szCs w:val="24"/>
          <w:lang w:val="lv-LV"/>
        </w:rPr>
        <w:t>līdz ar “ESPON 20</w:t>
      </w:r>
      <w:r w:rsidR="00E7097F">
        <w:rPr>
          <w:rFonts w:ascii="Times New Roman" w:hAnsi="Times New Roman"/>
          <w:sz w:val="24"/>
          <w:szCs w:val="24"/>
          <w:lang w:val="lv-LV"/>
        </w:rPr>
        <w:t>2</w:t>
      </w:r>
      <w:r>
        <w:rPr>
          <w:rFonts w:ascii="Times New Roman" w:hAnsi="Times New Roman"/>
          <w:sz w:val="24"/>
          <w:szCs w:val="24"/>
          <w:lang w:val="lv-LV"/>
        </w:rPr>
        <w:t xml:space="preserve">0” </w:t>
      </w:r>
      <w:proofErr w:type="spellStart"/>
      <w:r w:rsidR="00E7097F">
        <w:rPr>
          <w:rFonts w:ascii="Times New Roman" w:hAnsi="Times New Roman"/>
          <w:sz w:val="24"/>
          <w:szCs w:val="24"/>
          <w:lang w:val="lv-LV"/>
        </w:rPr>
        <w:t>starpreģionu</w:t>
      </w:r>
      <w:proofErr w:type="spellEnd"/>
      <w:r w:rsidR="00E7097F">
        <w:rPr>
          <w:rFonts w:ascii="Times New Roman" w:hAnsi="Times New Roman"/>
          <w:sz w:val="24"/>
          <w:szCs w:val="24"/>
          <w:lang w:val="lv-LV"/>
        </w:rPr>
        <w:t xml:space="preserve"> s</w:t>
      </w:r>
      <w:r>
        <w:rPr>
          <w:rFonts w:ascii="Times New Roman" w:hAnsi="Times New Roman"/>
          <w:sz w:val="24"/>
          <w:szCs w:val="24"/>
          <w:lang w:val="lv-LV"/>
        </w:rPr>
        <w:t xml:space="preserve">adarbības programmu </w:t>
      </w:r>
      <w:r w:rsidR="00BE1396">
        <w:rPr>
          <w:rFonts w:ascii="Times New Roman" w:hAnsi="Times New Roman"/>
          <w:sz w:val="24"/>
          <w:szCs w:val="24"/>
          <w:lang w:val="lv-LV"/>
        </w:rPr>
        <w:t>2014.-2020.gadam</w:t>
      </w:r>
      <w:r w:rsidR="007C090B">
        <w:rPr>
          <w:rFonts w:ascii="Times New Roman" w:hAnsi="Times New Roman"/>
          <w:sz w:val="24"/>
          <w:szCs w:val="24"/>
          <w:lang w:val="lv-LV"/>
        </w:rPr>
        <w:t xml:space="preserve"> (turpmāk – “ESPON 2020”</w:t>
      </w:r>
      <w:r w:rsidR="007C04F1">
        <w:rPr>
          <w:rFonts w:ascii="Times New Roman" w:hAnsi="Times New Roman"/>
          <w:sz w:val="24"/>
          <w:szCs w:val="24"/>
          <w:lang w:val="lv-LV"/>
        </w:rPr>
        <w:t xml:space="preserve"> programma)</w:t>
      </w:r>
      <w:r w:rsidR="00BE1396">
        <w:rPr>
          <w:rFonts w:ascii="Times New Roman" w:hAnsi="Times New Roman"/>
          <w:sz w:val="24"/>
          <w:szCs w:val="24"/>
          <w:lang w:val="lv-LV"/>
        </w:rPr>
        <w:t xml:space="preserve"> </w:t>
      </w:r>
      <w:r>
        <w:rPr>
          <w:rFonts w:ascii="Times New Roman" w:hAnsi="Times New Roman"/>
          <w:sz w:val="24"/>
          <w:szCs w:val="24"/>
          <w:lang w:val="lv-LV"/>
        </w:rPr>
        <w:t>tika izveidots</w:t>
      </w:r>
      <w:r w:rsidRPr="004C576C">
        <w:rPr>
          <w:rFonts w:ascii="Times New Roman" w:hAnsi="Times New Roman"/>
          <w:sz w:val="24"/>
          <w:szCs w:val="24"/>
          <w:lang w:val="lv-LV"/>
        </w:rPr>
        <w:t xml:space="preserve"> ESPON ETSG Riska atbildības mehānisms (turpmāk </w:t>
      </w:r>
      <w:r w:rsidRPr="004C576C">
        <w:rPr>
          <w:rFonts w:ascii="Times New Roman" w:hAnsi="Times New Roman"/>
          <w:sz w:val="24"/>
          <w:szCs w:val="24"/>
          <w:lang w:val="lv-LV"/>
        </w:rPr>
        <w:noBreakHyphen/>
        <w:t xml:space="preserve"> </w:t>
      </w:r>
      <w:r w:rsidRPr="004C576C">
        <w:rPr>
          <w:rFonts w:ascii="Times New Roman" w:hAnsi="Times New Roman"/>
          <w:sz w:val="24"/>
          <w:szCs w:val="24"/>
          <w:u w:val="single"/>
          <w:lang w:val="lv-LV"/>
        </w:rPr>
        <w:t>Atbildības mehānisms</w:t>
      </w:r>
      <w:r w:rsidRPr="004C576C">
        <w:rPr>
          <w:rFonts w:ascii="Times New Roman" w:hAnsi="Times New Roman"/>
          <w:sz w:val="24"/>
          <w:szCs w:val="24"/>
          <w:lang w:val="lv-LV"/>
        </w:rPr>
        <w:t>)</w:t>
      </w:r>
      <w:r>
        <w:rPr>
          <w:rFonts w:ascii="Times New Roman" w:hAnsi="Times New Roman"/>
          <w:sz w:val="24"/>
          <w:szCs w:val="24"/>
          <w:lang w:val="lv-LV"/>
        </w:rPr>
        <w:t>, kura darbība tiks turpināta “ESPON 2030” programmas ietvaros</w:t>
      </w:r>
      <w:r w:rsidRPr="004C576C">
        <w:rPr>
          <w:rFonts w:ascii="Times New Roman" w:hAnsi="Times New Roman"/>
          <w:sz w:val="24"/>
          <w:szCs w:val="24"/>
          <w:lang w:val="lv-LV"/>
        </w:rPr>
        <w:t xml:space="preserve">. Atbildības mehānismam jānodrošina ESPON ETSG pareiza funkcionēšana un likviditāte, īstenojot </w:t>
      </w:r>
      <w:r>
        <w:rPr>
          <w:rFonts w:ascii="Times New Roman" w:hAnsi="Times New Roman"/>
          <w:sz w:val="24"/>
          <w:szCs w:val="24"/>
          <w:lang w:val="lv-LV"/>
        </w:rPr>
        <w:t>“</w:t>
      </w:r>
      <w:r w:rsidRPr="004C576C">
        <w:rPr>
          <w:rFonts w:ascii="Times New Roman" w:hAnsi="Times New Roman"/>
          <w:sz w:val="24"/>
          <w:szCs w:val="24"/>
          <w:lang w:val="lv-LV"/>
        </w:rPr>
        <w:t>ESPON 20</w:t>
      </w:r>
      <w:r>
        <w:rPr>
          <w:rFonts w:ascii="Times New Roman" w:hAnsi="Times New Roman"/>
          <w:sz w:val="24"/>
          <w:szCs w:val="24"/>
          <w:lang w:val="lv-LV"/>
        </w:rPr>
        <w:t>3</w:t>
      </w:r>
      <w:r w:rsidRPr="004C576C">
        <w:rPr>
          <w:rFonts w:ascii="Times New Roman" w:hAnsi="Times New Roman"/>
          <w:sz w:val="24"/>
          <w:szCs w:val="24"/>
          <w:lang w:val="lv-LV"/>
        </w:rPr>
        <w:t>0</w:t>
      </w:r>
      <w:r>
        <w:rPr>
          <w:rFonts w:ascii="Times New Roman" w:hAnsi="Times New Roman"/>
          <w:sz w:val="24"/>
          <w:szCs w:val="24"/>
          <w:lang w:val="lv-LV"/>
        </w:rPr>
        <w:t>”</w:t>
      </w:r>
      <w:r w:rsidRPr="004C576C">
        <w:rPr>
          <w:rFonts w:ascii="Times New Roman" w:hAnsi="Times New Roman"/>
          <w:sz w:val="24"/>
          <w:szCs w:val="24"/>
          <w:lang w:val="lv-LV"/>
        </w:rPr>
        <w:t xml:space="preserve"> programmas Vienīgo darbību visām iesaistītajām valstīm, un jāgarantē finansējums visām neattiecināmajām izmaksām, kas eventuāli rodas </w:t>
      </w:r>
      <w:r>
        <w:rPr>
          <w:rFonts w:ascii="Times New Roman" w:hAnsi="Times New Roman"/>
          <w:sz w:val="24"/>
          <w:szCs w:val="24"/>
          <w:lang w:val="lv-LV"/>
        </w:rPr>
        <w:t xml:space="preserve">šīs </w:t>
      </w:r>
      <w:r w:rsidRPr="004C576C">
        <w:rPr>
          <w:rFonts w:ascii="Times New Roman" w:hAnsi="Times New Roman"/>
          <w:sz w:val="24"/>
          <w:szCs w:val="24"/>
          <w:lang w:val="lv-LV"/>
        </w:rPr>
        <w:t xml:space="preserve">Vienīgās darbības īstenošanas gaitā. Atbildības mehānisms jāfinansē visām </w:t>
      </w:r>
      <w:r w:rsidR="00F15959">
        <w:rPr>
          <w:rFonts w:ascii="Times New Roman" w:hAnsi="Times New Roman"/>
          <w:sz w:val="24"/>
          <w:szCs w:val="24"/>
          <w:lang w:val="lv-LV"/>
        </w:rPr>
        <w:t>d</w:t>
      </w:r>
      <w:r>
        <w:rPr>
          <w:rFonts w:ascii="Times New Roman" w:hAnsi="Times New Roman"/>
          <w:sz w:val="24"/>
          <w:szCs w:val="24"/>
          <w:lang w:val="lv-LV"/>
        </w:rPr>
        <w:t>alīb</w:t>
      </w:r>
      <w:r w:rsidRPr="004C576C">
        <w:rPr>
          <w:rFonts w:ascii="Times New Roman" w:hAnsi="Times New Roman"/>
          <w:sz w:val="24"/>
          <w:szCs w:val="24"/>
          <w:lang w:val="lv-LV"/>
        </w:rPr>
        <w:t xml:space="preserve">valstīm, līdz maksimums 2 % no neattiecināmajām izmaksām attiecībā pret kopējo budžetu, kas piešķirts </w:t>
      </w:r>
      <w:r>
        <w:rPr>
          <w:rFonts w:ascii="Times New Roman" w:hAnsi="Times New Roman"/>
          <w:sz w:val="24"/>
          <w:szCs w:val="24"/>
          <w:lang w:val="lv-LV"/>
        </w:rPr>
        <w:t xml:space="preserve">ESPON </w:t>
      </w:r>
      <w:r w:rsidRPr="004C576C">
        <w:rPr>
          <w:rFonts w:ascii="Times New Roman" w:hAnsi="Times New Roman"/>
          <w:sz w:val="24"/>
          <w:szCs w:val="24"/>
          <w:lang w:val="lv-LV"/>
        </w:rPr>
        <w:t xml:space="preserve">ETSG ar </w:t>
      </w:r>
      <w:r w:rsidR="00E9545A">
        <w:rPr>
          <w:rFonts w:ascii="Times New Roman" w:hAnsi="Times New Roman"/>
          <w:sz w:val="24"/>
          <w:szCs w:val="24"/>
          <w:lang w:val="lv-LV"/>
        </w:rPr>
        <w:t>Dotāciju</w:t>
      </w:r>
      <w:r w:rsidRPr="004C576C">
        <w:rPr>
          <w:rFonts w:ascii="Times New Roman" w:hAnsi="Times New Roman"/>
          <w:sz w:val="24"/>
          <w:szCs w:val="24"/>
          <w:lang w:val="lv-LV"/>
        </w:rPr>
        <w:t xml:space="preserve"> </w:t>
      </w:r>
      <w:r w:rsidR="00E9545A">
        <w:rPr>
          <w:rFonts w:ascii="Times New Roman" w:hAnsi="Times New Roman"/>
          <w:sz w:val="24"/>
          <w:szCs w:val="24"/>
          <w:lang w:val="lv-LV"/>
        </w:rPr>
        <w:t>no</w:t>
      </w:r>
      <w:r w:rsidRPr="004C576C">
        <w:rPr>
          <w:rFonts w:ascii="Times New Roman" w:hAnsi="Times New Roman"/>
          <w:sz w:val="24"/>
          <w:szCs w:val="24"/>
          <w:lang w:val="lv-LV"/>
        </w:rPr>
        <w:t>līgumu</w:t>
      </w:r>
      <w:r>
        <w:rPr>
          <w:rFonts w:ascii="Times New Roman" w:hAnsi="Times New Roman"/>
          <w:sz w:val="24"/>
          <w:szCs w:val="24"/>
          <w:lang w:val="lv-LV"/>
        </w:rPr>
        <w:t>.</w:t>
      </w:r>
      <w:r w:rsidRPr="004C576C">
        <w:rPr>
          <w:rFonts w:ascii="Times New Roman" w:hAnsi="Times New Roman"/>
          <w:sz w:val="24"/>
          <w:szCs w:val="24"/>
          <w:lang w:val="lv-LV"/>
        </w:rPr>
        <w:t xml:space="preserve"> Luksemburgas Lielhercogistei darbojoties kā valstij, kurā atrodas ESPON ETSG, ta</w:t>
      </w:r>
      <w:r>
        <w:rPr>
          <w:rFonts w:ascii="Times New Roman" w:hAnsi="Times New Roman"/>
          <w:sz w:val="24"/>
          <w:szCs w:val="24"/>
          <w:lang w:val="lv-LV"/>
        </w:rPr>
        <w:t>i</w:t>
      </w:r>
      <w:r w:rsidRPr="004C576C">
        <w:rPr>
          <w:rFonts w:ascii="Times New Roman" w:hAnsi="Times New Roman"/>
          <w:sz w:val="24"/>
          <w:szCs w:val="24"/>
          <w:lang w:val="lv-LV"/>
        </w:rPr>
        <w:t xml:space="preserve"> jāsedz visas neattiecināmās izmaksas, kas pārsniedz 2 % slieksni no līdzekļiem, kas ir piešķirti ar </w:t>
      </w:r>
      <w:r w:rsidR="00E9545A">
        <w:rPr>
          <w:rFonts w:ascii="Times New Roman" w:hAnsi="Times New Roman"/>
          <w:sz w:val="24"/>
          <w:szCs w:val="24"/>
          <w:lang w:val="lv-LV"/>
        </w:rPr>
        <w:t>Dotāciju</w:t>
      </w:r>
      <w:r w:rsidRPr="004C576C">
        <w:rPr>
          <w:rFonts w:ascii="Times New Roman" w:hAnsi="Times New Roman"/>
          <w:sz w:val="24"/>
          <w:szCs w:val="24"/>
          <w:lang w:val="lv-LV"/>
        </w:rPr>
        <w:t xml:space="preserve"> </w:t>
      </w:r>
      <w:r w:rsidR="00E9545A">
        <w:rPr>
          <w:rFonts w:ascii="Times New Roman" w:hAnsi="Times New Roman"/>
          <w:sz w:val="24"/>
          <w:szCs w:val="24"/>
          <w:lang w:val="lv-LV"/>
        </w:rPr>
        <w:t>no</w:t>
      </w:r>
      <w:r w:rsidRPr="004C576C">
        <w:rPr>
          <w:rFonts w:ascii="Times New Roman" w:hAnsi="Times New Roman"/>
          <w:sz w:val="24"/>
          <w:szCs w:val="24"/>
          <w:lang w:val="lv-LV"/>
        </w:rPr>
        <w:t xml:space="preserve">līgumu, un kas var rasties </w:t>
      </w:r>
      <w:r>
        <w:rPr>
          <w:rFonts w:ascii="Times New Roman" w:hAnsi="Times New Roman"/>
          <w:sz w:val="24"/>
          <w:szCs w:val="24"/>
          <w:lang w:val="lv-LV"/>
        </w:rPr>
        <w:t>Vienīgās</w:t>
      </w:r>
      <w:r w:rsidRPr="004C576C">
        <w:rPr>
          <w:rFonts w:ascii="Times New Roman" w:hAnsi="Times New Roman"/>
          <w:sz w:val="24"/>
          <w:szCs w:val="24"/>
          <w:lang w:val="lv-LV"/>
        </w:rPr>
        <w:t xml:space="preserve"> darbības īstenošanas gaitā.</w:t>
      </w:r>
    </w:p>
    <w:p w14:paraId="66C3881B" w14:textId="77777777" w:rsidR="00CF5E67" w:rsidRDefault="00CF5E67" w:rsidP="00CF5E67">
      <w:pPr>
        <w:pStyle w:val="NoSpacing"/>
        <w:spacing w:after="120" w:line="276" w:lineRule="auto"/>
        <w:jc w:val="both"/>
        <w:rPr>
          <w:rFonts w:ascii="Times New Roman" w:hAnsi="Times New Roman"/>
          <w:sz w:val="24"/>
          <w:szCs w:val="24"/>
          <w:lang w:val="lv-LV"/>
        </w:rPr>
      </w:pPr>
    </w:p>
    <w:p w14:paraId="76495C1B" w14:textId="77777777" w:rsidR="00CF5E67" w:rsidRPr="004C576C" w:rsidRDefault="00CF5E67" w:rsidP="00CF5E67">
      <w:pPr>
        <w:pStyle w:val="NoSpacing"/>
        <w:spacing w:after="120" w:line="276" w:lineRule="auto"/>
        <w:jc w:val="both"/>
        <w:rPr>
          <w:rFonts w:ascii="Times New Roman" w:hAnsi="Times New Roman"/>
          <w:sz w:val="24"/>
          <w:szCs w:val="24"/>
          <w:lang w:val="lv-LV"/>
        </w:rPr>
      </w:pPr>
    </w:p>
    <w:p w14:paraId="1CFBA59D" w14:textId="77777777" w:rsidR="0047578D" w:rsidRDefault="0047578D">
      <w:pPr>
        <w:spacing w:after="160" w:line="259" w:lineRule="auto"/>
        <w:rPr>
          <w:rFonts w:ascii="Times New Roman" w:hAnsi="Times New Roman"/>
          <w:b/>
          <w:bCs/>
          <w:sz w:val="24"/>
          <w:szCs w:val="24"/>
          <w:lang w:val="lv-LV"/>
        </w:rPr>
      </w:pPr>
      <w:bookmarkStart w:id="7" w:name="_Toc429386293"/>
      <w:r>
        <w:rPr>
          <w:rFonts w:ascii="Times New Roman" w:hAnsi="Times New Roman"/>
          <w:szCs w:val="24"/>
          <w:lang w:val="lv-LV"/>
        </w:rPr>
        <w:br w:type="page"/>
      </w:r>
    </w:p>
    <w:p w14:paraId="775F7203" w14:textId="54B0C829" w:rsidR="00CF5E67" w:rsidRPr="004C576C" w:rsidRDefault="00CF5E67" w:rsidP="00CF5E67">
      <w:pPr>
        <w:pStyle w:val="Heading1"/>
        <w:rPr>
          <w:rFonts w:ascii="Times New Roman" w:hAnsi="Times New Roman"/>
          <w:szCs w:val="24"/>
          <w:lang w:val="lv-LV"/>
        </w:rPr>
      </w:pPr>
      <w:bookmarkStart w:id="8" w:name="_Toc83667676"/>
      <w:r w:rsidRPr="004C576C">
        <w:rPr>
          <w:rFonts w:ascii="Times New Roman" w:hAnsi="Times New Roman"/>
          <w:szCs w:val="24"/>
          <w:lang w:val="lv-LV"/>
        </w:rPr>
        <w:lastRenderedPageBreak/>
        <w:t>2. NODAĻA. DEFINĪCIJAS</w:t>
      </w:r>
      <w:bookmarkEnd w:id="7"/>
      <w:bookmarkEnd w:id="8"/>
    </w:p>
    <w:p w14:paraId="23A5E72F" w14:textId="30353FB9"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Lai izveidotu vienotu izpratni par terminiem, kas tiek atkārtoti lietoti </w:t>
      </w:r>
      <w:r>
        <w:rPr>
          <w:rFonts w:ascii="Times New Roman" w:hAnsi="Times New Roman"/>
          <w:sz w:val="24"/>
          <w:szCs w:val="24"/>
          <w:lang w:val="lv-LV"/>
        </w:rPr>
        <w:t>“</w:t>
      </w:r>
      <w:r w:rsidRPr="004C576C">
        <w:rPr>
          <w:rFonts w:ascii="Times New Roman" w:hAnsi="Times New Roman"/>
          <w:sz w:val="24"/>
          <w:szCs w:val="24"/>
          <w:lang w:val="lv-LV"/>
        </w:rPr>
        <w:t>ESPON 20</w:t>
      </w:r>
      <w:r>
        <w:rPr>
          <w:rFonts w:ascii="Times New Roman" w:hAnsi="Times New Roman"/>
          <w:sz w:val="24"/>
          <w:szCs w:val="24"/>
          <w:lang w:val="lv-LV"/>
        </w:rPr>
        <w:t>3</w:t>
      </w:r>
      <w:r w:rsidRPr="004C576C">
        <w:rPr>
          <w:rFonts w:ascii="Times New Roman" w:hAnsi="Times New Roman"/>
          <w:sz w:val="24"/>
          <w:szCs w:val="24"/>
          <w:lang w:val="lv-LV"/>
        </w:rPr>
        <w:t>0</w:t>
      </w:r>
      <w:r>
        <w:rPr>
          <w:rFonts w:ascii="Times New Roman" w:hAnsi="Times New Roman"/>
          <w:sz w:val="24"/>
          <w:szCs w:val="24"/>
          <w:lang w:val="lv-LV"/>
        </w:rPr>
        <w:t>”</w:t>
      </w:r>
      <w:r w:rsidRPr="004C576C">
        <w:rPr>
          <w:rFonts w:ascii="Times New Roman" w:hAnsi="Times New Roman"/>
          <w:sz w:val="24"/>
          <w:szCs w:val="24"/>
          <w:lang w:val="lv-LV"/>
        </w:rPr>
        <w:t xml:space="preserve"> programmas un šī dokumenta kontekstā, ir jāpiemēro šādas definīcijas:</w:t>
      </w:r>
    </w:p>
    <w:p w14:paraId="2EA2C6EC" w14:textId="5392FFAF" w:rsidR="00CF5E67" w:rsidRPr="004C576C" w:rsidRDefault="00CF5E67" w:rsidP="00CF5E67">
      <w:pPr>
        <w:pStyle w:val="NoSpacing"/>
        <w:numPr>
          <w:ilvl w:val="0"/>
          <w:numId w:val="4"/>
        </w:numPr>
        <w:spacing w:after="120" w:line="276" w:lineRule="auto"/>
        <w:jc w:val="both"/>
        <w:rPr>
          <w:rFonts w:ascii="Times New Roman" w:hAnsi="Times New Roman"/>
          <w:sz w:val="24"/>
          <w:szCs w:val="24"/>
          <w:lang w:val="lv-LV"/>
        </w:rPr>
      </w:pPr>
      <w:r w:rsidRPr="004C576C">
        <w:rPr>
          <w:rFonts w:ascii="Times New Roman" w:hAnsi="Times New Roman"/>
          <w:sz w:val="24"/>
          <w:szCs w:val="24"/>
          <w:u w:val="single"/>
          <w:lang w:val="lv-LV"/>
        </w:rPr>
        <w:t>Darbība,</w:t>
      </w:r>
      <w:r w:rsidRPr="004C576C">
        <w:rPr>
          <w:rFonts w:ascii="Times New Roman" w:hAnsi="Times New Roman"/>
          <w:sz w:val="24"/>
          <w:szCs w:val="24"/>
          <w:lang w:val="lv-LV"/>
        </w:rPr>
        <w:t xml:space="preserve"> saskaņā ar KNR 2.</w:t>
      </w:r>
      <w:r>
        <w:rPr>
          <w:rFonts w:ascii="Times New Roman" w:hAnsi="Times New Roman"/>
          <w:sz w:val="24"/>
          <w:szCs w:val="24"/>
          <w:lang w:val="lv-LV"/>
        </w:rPr>
        <w:t xml:space="preserve">panta </w:t>
      </w:r>
      <w:r w:rsidRPr="004C576C">
        <w:rPr>
          <w:rFonts w:ascii="Times New Roman" w:hAnsi="Times New Roman"/>
          <w:sz w:val="24"/>
          <w:szCs w:val="24"/>
          <w:lang w:val="lv-LV"/>
        </w:rPr>
        <w:t> </w:t>
      </w:r>
      <w:r>
        <w:rPr>
          <w:rFonts w:ascii="Times New Roman" w:hAnsi="Times New Roman"/>
          <w:sz w:val="24"/>
          <w:szCs w:val="24"/>
          <w:lang w:val="lv-LV"/>
        </w:rPr>
        <w:t>4.punktu</w:t>
      </w:r>
      <w:r w:rsidRPr="004C576C">
        <w:rPr>
          <w:rFonts w:ascii="Times New Roman" w:hAnsi="Times New Roman"/>
          <w:sz w:val="24"/>
          <w:szCs w:val="24"/>
          <w:lang w:val="lv-LV"/>
        </w:rPr>
        <w:t>,</w:t>
      </w:r>
      <w:r w:rsidRPr="004C576C">
        <w:rPr>
          <w:rFonts w:ascii="Times New Roman" w:hAnsi="Times New Roman"/>
          <w:i/>
          <w:sz w:val="24"/>
          <w:szCs w:val="24"/>
          <w:lang w:val="lv-LV"/>
        </w:rPr>
        <w:t xml:space="preserve"> </w:t>
      </w:r>
      <w:r w:rsidR="005B373E" w:rsidRPr="005B373E">
        <w:rPr>
          <w:rFonts w:ascii="Times New Roman" w:hAnsi="Times New Roman"/>
          <w:i/>
          <w:sz w:val="24"/>
          <w:szCs w:val="24"/>
          <w:lang w:val="lv-LV"/>
        </w:rPr>
        <w:t>“</w:t>
      </w:r>
      <w:r w:rsidRPr="005B373E">
        <w:rPr>
          <w:rFonts w:ascii="Times New Roman" w:hAnsi="Times New Roman"/>
          <w:i/>
          <w:sz w:val="24"/>
          <w:szCs w:val="24"/>
          <w:lang w:val="lv-LV"/>
        </w:rPr>
        <w:t xml:space="preserve">ir projekts, līgums, darbība vai projektu grupa, </w:t>
      </w:r>
      <w:r w:rsidRPr="00B46688">
        <w:rPr>
          <w:rFonts w:ascii="Times New Roman" w:hAnsi="Times New Roman"/>
          <w:i/>
          <w:sz w:val="24"/>
          <w:szCs w:val="24"/>
          <w:lang w:val="lv-LV"/>
        </w:rPr>
        <w:t>kas atlasīti attiecīgajās programmās</w:t>
      </w:r>
      <w:r w:rsidRPr="005B373E">
        <w:rPr>
          <w:rFonts w:ascii="Times New Roman" w:hAnsi="Times New Roman"/>
          <w:sz w:val="24"/>
          <w:szCs w:val="24"/>
          <w:lang w:val="lv-LV"/>
        </w:rPr>
        <w:t>.</w:t>
      </w:r>
      <w:r w:rsidR="005B373E" w:rsidRPr="005B373E">
        <w:rPr>
          <w:rFonts w:ascii="Times New Roman" w:hAnsi="Times New Roman"/>
          <w:sz w:val="24"/>
          <w:szCs w:val="24"/>
          <w:lang w:val="lv-LV"/>
        </w:rPr>
        <w:t>”</w:t>
      </w:r>
    </w:p>
    <w:p w14:paraId="35B62533" w14:textId="0630EAA1" w:rsidR="00CF5E67" w:rsidRPr="004C576C" w:rsidRDefault="00CF5E67" w:rsidP="00CF5E67">
      <w:pPr>
        <w:pStyle w:val="NoSpacing"/>
        <w:numPr>
          <w:ilvl w:val="0"/>
          <w:numId w:val="4"/>
        </w:numPr>
        <w:spacing w:after="120" w:line="276" w:lineRule="auto"/>
        <w:jc w:val="both"/>
        <w:rPr>
          <w:rFonts w:ascii="Times New Roman" w:hAnsi="Times New Roman"/>
          <w:sz w:val="24"/>
          <w:szCs w:val="24"/>
          <w:lang w:val="lv-LV"/>
        </w:rPr>
      </w:pPr>
      <w:r w:rsidRPr="004C576C">
        <w:rPr>
          <w:rFonts w:ascii="Times New Roman" w:hAnsi="Times New Roman"/>
          <w:sz w:val="24"/>
          <w:szCs w:val="24"/>
          <w:u w:val="single"/>
          <w:lang w:val="lv-LV"/>
        </w:rPr>
        <w:t>Atbalsta saņēmējs,</w:t>
      </w:r>
      <w:r w:rsidRPr="004C576C">
        <w:rPr>
          <w:rFonts w:ascii="Times New Roman" w:hAnsi="Times New Roman"/>
          <w:sz w:val="24"/>
          <w:szCs w:val="24"/>
          <w:lang w:val="lv-LV"/>
        </w:rPr>
        <w:t xml:space="preserve"> saskaņā ar KNR 2.</w:t>
      </w:r>
      <w:r>
        <w:rPr>
          <w:rFonts w:ascii="Times New Roman" w:hAnsi="Times New Roman"/>
          <w:sz w:val="24"/>
          <w:szCs w:val="24"/>
          <w:lang w:val="lv-LV"/>
        </w:rPr>
        <w:t>panta 9.punktu</w:t>
      </w:r>
      <w:r w:rsidRPr="004C576C">
        <w:rPr>
          <w:rFonts w:ascii="Times New Roman" w:hAnsi="Times New Roman"/>
          <w:sz w:val="24"/>
          <w:szCs w:val="24"/>
          <w:lang w:val="lv-LV"/>
        </w:rPr>
        <w:t>,</w:t>
      </w:r>
      <w:r w:rsidRPr="004C576C">
        <w:rPr>
          <w:rFonts w:ascii="Times New Roman" w:hAnsi="Times New Roman"/>
          <w:i/>
          <w:sz w:val="24"/>
          <w:szCs w:val="24"/>
          <w:lang w:val="lv-LV"/>
        </w:rPr>
        <w:t xml:space="preserve"> </w:t>
      </w:r>
      <w:r w:rsidR="00BB3FDB" w:rsidRPr="005B373E">
        <w:rPr>
          <w:rFonts w:ascii="Times New Roman" w:hAnsi="Times New Roman"/>
          <w:i/>
          <w:sz w:val="24"/>
          <w:szCs w:val="24"/>
          <w:lang w:val="lv-LV"/>
        </w:rPr>
        <w:t>“</w:t>
      </w:r>
      <w:r w:rsidRPr="005B373E">
        <w:rPr>
          <w:rFonts w:ascii="Times New Roman" w:hAnsi="Times New Roman"/>
          <w:i/>
          <w:sz w:val="24"/>
          <w:szCs w:val="24"/>
          <w:lang w:val="lv-LV"/>
        </w:rPr>
        <w:t xml:space="preserve">ir publiska vai privāta struktūra </w:t>
      </w:r>
      <w:r w:rsidRPr="00B46688">
        <w:rPr>
          <w:rFonts w:ascii="Times New Roman" w:hAnsi="Times New Roman"/>
          <w:i/>
          <w:sz w:val="24"/>
          <w:szCs w:val="24"/>
          <w:shd w:val="clear" w:color="auto" w:fill="FFFFFF"/>
          <w:lang w:val="lv-LV"/>
        </w:rPr>
        <w:t>subjekts, kuram var arī nebūt juridiskas personas statusa, vai fiziska persona,</w:t>
      </w:r>
      <w:r w:rsidR="00B46688">
        <w:rPr>
          <w:rFonts w:ascii="Times New Roman" w:hAnsi="Times New Roman"/>
          <w:i/>
          <w:sz w:val="24"/>
          <w:szCs w:val="24"/>
          <w:lang w:val="lv-LV"/>
        </w:rPr>
        <w:t xml:space="preserve"> </w:t>
      </w:r>
      <w:r w:rsidRPr="005B373E">
        <w:rPr>
          <w:rFonts w:ascii="Times New Roman" w:hAnsi="Times New Roman"/>
          <w:i/>
          <w:sz w:val="24"/>
          <w:szCs w:val="24"/>
          <w:lang w:val="lv-LV"/>
        </w:rPr>
        <w:t>kas ir atbildīga par darbību sākšanu vai gan sākšanu, gan īstenošanu.</w:t>
      </w:r>
      <w:r w:rsidR="00BB3FDB" w:rsidRPr="005B373E">
        <w:rPr>
          <w:rFonts w:ascii="Times New Roman" w:hAnsi="Times New Roman"/>
          <w:i/>
          <w:sz w:val="24"/>
          <w:szCs w:val="24"/>
          <w:lang w:val="lv-LV"/>
        </w:rPr>
        <w:t>”</w:t>
      </w:r>
    </w:p>
    <w:p w14:paraId="27BDEAB9" w14:textId="7F0FEFDE" w:rsidR="00CF5E67" w:rsidRPr="004C576C" w:rsidRDefault="00CF5E67" w:rsidP="00CF5E67">
      <w:pPr>
        <w:pStyle w:val="NoSpacing"/>
        <w:numPr>
          <w:ilvl w:val="0"/>
          <w:numId w:val="4"/>
        </w:numPr>
        <w:spacing w:after="120" w:line="276" w:lineRule="auto"/>
        <w:jc w:val="both"/>
        <w:rPr>
          <w:rFonts w:ascii="Times New Roman" w:hAnsi="Times New Roman"/>
          <w:i/>
          <w:sz w:val="24"/>
          <w:szCs w:val="24"/>
          <w:lang w:val="lv-LV"/>
        </w:rPr>
      </w:pPr>
      <w:r w:rsidRPr="004C576C">
        <w:rPr>
          <w:rFonts w:ascii="Times New Roman" w:hAnsi="Times New Roman"/>
          <w:sz w:val="24"/>
          <w:szCs w:val="24"/>
          <w:u w:val="single"/>
          <w:lang w:val="lv-LV"/>
        </w:rPr>
        <w:t>ESPON ETSG,</w:t>
      </w:r>
      <w:r w:rsidRPr="004C576C">
        <w:rPr>
          <w:rFonts w:ascii="Times New Roman" w:hAnsi="Times New Roman"/>
          <w:sz w:val="24"/>
          <w:szCs w:val="24"/>
          <w:lang w:val="lv-LV"/>
        </w:rPr>
        <w:t xml:space="preserve"> </w:t>
      </w:r>
      <w:r>
        <w:rPr>
          <w:rFonts w:ascii="Times New Roman" w:hAnsi="Times New Roman"/>
          <w:sz w:val="24"/>
          <w:szCs w:val="24"/>
          <w:lang w:val="lv-LV"/>
        </w:rPr>
        <w:t>ko dibinājuši</w:t>
      </w:r>
      <w:r w:rsidRPr="004C576C">
        <w:rPr>
          <w:rFonts w:ascii="Times New Roman" w:hAnsi="Times New Roman"/>
          <w:sz w:val="24"/>
          <w:szCs w:val="24"/>
          <w:lang w:val="lv-LV"/>
        </w:rPr>
        <w:t xml:space="preserve"> Briseles galvaspilsētas reģions, Flandrijas reģions, </w:t>
      </w:r>
      <w:proofErr w:type="spellStart"/>
      <w:r w:rsidRPr="004C576C">
        <w:rPr>
          <w:rFonts w:ascii="Times New Roman" w:hAnsi="Times New Roman"/>
          <w:sz w:val="24"/>
          <w:szCs w:val="24"/>
          <w:lang w:val="lv-LV"/>
        </w:rPr>
        <w:t>Valonijas</w:t>
      </w:r>
      <w:proofErr w:type="spellEnd"/>
      <w:r w:rsidRPr="004C576C">
        <w:rPr>
          <w:rFonts w:ascii="Times New Roman" w:hAnsi="Times New Roman"/>
          <w:sz w:val="24"/>
          <w:szCs w:val="24"/>
          <w:lang w:val="lv-LV"/>
        </w:rPr>
        <w:t xml:space="preserve"> reģions un Luksemburgas Lielhercogiste, ir ar juridisko adresi Luksemburgā. ESPON ETSG darbību reglamentē “Statūti”. Atsaucoties uz Statūtu 5. pantu, galvenais ESPON ETSG</w:t>
      </w:r>
      <w:r w:rsidRPr="004C576C">
        <w:rPr>
          <w:rFonts w:ascii="Times New Roman" w:hAnsi="Times New Roman"/>
          <w:i/>
          <w:sz w:val="24"/>
          <w:szCs w:val="24"/>
          <w:lang w:val="lv-LV"/>
        </w:rPr>
        <w:t xml:space="preserve"> </w:t>
      </w:r>
      <w:r w:rsidRPr="004C576C">
        <w:rPr>
          <w:rFonts w:ascii="Times New Roman" w:hAnsi="Times New Roman"/>
          <w:sz w:val="24"/>
          <w:szCs w:val="24"/>
          <w:lang w:val="lv-LV"/>
        </w:rPr>
        <w:t>mērķis ir turpināt Eiropas teritoriālā novērošanas tīkla konsolidēšanu un turpināt uzlabot visas Eiropas, salīdzināmu, sistemātisku un uzticamu teritoriālo pierādījumu nodrošināšanu un politiku.</w:t>
      </w:r>
      <w:r>
        <w:rPr>
          <w:rFonts w:ascii="Times New Roman" w:hAnsi="Times New Roman"/>
          <w:sz w:val="24"/>
          <w:szCs w:val="24"/>
          <w:lang w:val="lv-LV"/>
        </w:rPr>
        <w:t xml:space="preserve"> ESPON ETSG jau iecelts par “ESPON 2030” programmas īstenotāju un tam jāparaksta “ESPON 2030” programmas </w:t>
      </w:r>
      <w:r w:rsidR="00E9545A">
        <w:rPr>
          <w:rFonts w:ascii="Times New Roman" w:hAnsi="Times New Roman"/>
          <w:sz w:val="24"/>
          <w:szCs w:val="24"/>
          <w:lang w:val="lv-LV"/>
        </w:rPr>
        <w:t>Dotāciju</w:t>
      </w:r>
      <w:r>
        <w:rPr>
          <w:rFonts w:ascii="Times New Roman" w:hAnsi="Times New Roman"/>
          <w:sz w:val="24"/>
          <w:szCs w:val="24"/>
          <w:lang w:val="lv-LV"/>
        </w:rPr>
        <w:t xml:space="preserve"> </w:t>
      </w:r>
      <w:r w:rsidR="00E9545A">
        <w:rPr>
          <w:rFonts w:ascii="Times New Roman" w:hAnsi="Times New Roman"/>
          <w:sz w:val="24"/>
          <w:szCs w:val="24"/>
          <w:lang w:val="lv-LV"/>
        </w:rPr>
        <w:t>no</w:t>
      </w:r>
      <w:r>
        <w:rPr>
          <w:rFonts w:ascii="Times New Roman" w:hAnsi="Times New Roman"/>
          <w:sz w:val="24"/>
          <w:szCs w:val="24"/>
          <w:lang w:val="lv-LV"/>
        </w:rPr>
        <w:t xml:space="preserve">līgums ar </w:t>
      </w:r>
      <w:r w:rsidR="00C75DFD">
        <w:rPr>
          <w:rFonts w:ascii="Times New Roman" w:hAnsi="Times New Roman"/>
          <w:sz w:val="24"/>
          <w:szCs w:val="24"/>
          <w:lang w:val="lv-LV"/>
        </w:rPr>
        <w:t>V</w:t>
      </w:r>
      <w:r>
        <w:rPr>
          <w:rFonts w:ascii="Times New Roman" w:hAnsi="Times New Roman"/>
          <w:sz w:val="24"/>
          <w:szCs w:val="24"/>
          <w:lang w:val="lv-LV"/>
        </w:rPr>
        <w:t>adošo iestādi</w:t>
      </w:r>
    </w:p>
    <w:p w14:paraId="3BE282D7" w14:textId="4795C298" w:rsidR="00CF5E67" w:rsidRPr="004C576C" w:rsidRDefault="00E9545A" w:rsidP="00CF5E67">
      <w:pPr>
        <w:pStyle w:val="NoSpacing"/>
        <w:numPr>
          <w:ilvl w:val="0"/>
          <w:numId w:val="4"/>
        </w:numPr>
        <w:spacing w:after="120" w:line="276" w:lineRule="auto"/>
        <w:jc w:val="both"/>
        <w:rPr>
          <w:rFonts w:ascii="Times New Roman" w:hAnsi="Times New Roman"/>
          <w:sz w:val="24"/>
          <w:szCs w:val="24"/>
          <w:lang w:val="lv-LV"/>
        </w:rPr>
      </w:pPr>
      <w:r>
        <w:rPr>
          <w:rFonts w:ascii="Times New Roman" w:hAnsi="Times New Roman"/>
          <w:sz w:val="24"/>
          <w:szCs w:val="24"/>
          <w:u w:val="single"/>
          <w:lang w:val="lv-LV"/>
        </w:rPr>
        <w:t>Dotāciju</w:t>
      </w:r>
      <w:r w:rsidR="00CF5E67" w:rsidRPr="004C576C">
        <w:rPr>
          <w:rFonts w:ascii="Times New Roman" w:hAnsi="Times New Roman"/>
          <w:sz w:val="24"/>
          <w:szCs w:val="24"/>
          <w:u w:val="single"/>
          <w:lang w:val="lv-LV"/>
        </w:rPr>
        <w:t xml:space="preserve"> </w:t>
      </w:r>
      <w:r>
        <w:rPr>
          <w:rFonts w:ascii="Times New Roman" w:hAnsi="Times New Roman"/>
          <w:sz w:val="24"/>
          <w:szCs w:val="24"/>
          <w:u w:val="single"/>
          <w:lang w:val="lv-LV"/>
        </w:rPr>
        <w:t>no</w:t>
      </w:r>
      <w:r w:rsidR="00CF5E67" w:rsidRPr="004C576C">
        <w:rPr>
          <w:rFonts w:ascii="Times New Roman" w:hAnsi="Times New Roman"/>
          <w:sz w:val="24"/>
          <w:szCs w:val="24"/>
          <w:u w:val="single"/>
          <w:lang w:val="lv-LV"/>
        </w:rPr>
        <w:t>līgums</w:t>
      </w:r>
      <w:r w:rsidR="00CF5E67" w:rsidRPr="004C576C">
        <w:rPr>
          <w:rFonts w:ascii="Times New Roman" w:hAnsi="Times New Roman"/>
          <w:sz w:val="24"/>
          <w:szCs w:val="24"/>
          <w:lang w:val="lv-LV"/>
        </w:rPr>
        <w:t xml:space="preserve"> ir līgums, ko noslēgušas </w:t>
      </w:r>
      <w:r w:rsidR="00CF5E67">
        <w:rPr>
          <w:rFonts w:ascii="Times New Roman" w:hAnsi="Times New Roman"/>
          <w:sz w:val="24"/>
          <w:szCs w:val="24"/>
          <w:lang w:val="lv-LV"/>
        </w:rPr>
        <w:t>“</w:t>
      </w:r>
      <w:r w:rsidR="00CF5E67" w:rsidRPr="004C576C">
        <w:rPr>
          <w:rFonts w:ascii="Times New Roman" w:hAnsi="Times New Roman"/>
          <w:sz w:val="24"/>
          <w:szCs w:val="24"/>
          <w:lang w:val="lv-LV"/>
        </w:rPr>
        <w:t>ESPON 20</w:t>
      </w:r>
      <w:r w:rsidR="00CF5E67">
        <w:rPr>
          <w:rFonts w:ascii="Times New Roman" w:hAnsi="Times New Roman"/>
          <w:sz w:val="24"/>
          <w:szCs w:val="24"/>
          <w:lang w:val="lv-LV"/>
        </w:rPr>
        <w:t>3</w:t>
      </w:r>
      <w:r w:rsidR="00CF5E67" w:rsidRPr="004C576C">
        <w:rPr>
          <w:rFonts w:ascii="Times New Roman" w:hAnsi="Times New Roman"/>
          <w:sz w:val="24"/>
          <w:szCs w:val="24"/>
          <w:lang w:val="lv-LV"/>
        </w:rPr>
        <w:t>0</w:t>
      </w:r>
      <w:r w:rsidR="00CF5E67">
        <w:rPr>
          <w:rFonts w:ascii="Times New Roman" w:hAnsi="Times New Roman"/>
          <w:sz w:val="24"/>
          <w:szCs w:val="24"/>
          <w:lang w:val="lv-LV"/>
        </w:rPr>
        <w:t>”</w:t>
      </w:r>
      <w:r w:rsidR="00CF5E67" w:rsidRPr="004C576C">
        <w:rPr>
          <w:rFonts w:ascii="Times New Roman" w:hAnsi="Times New Roman"/>
          <w:sz w:val="24"/>
          <w:szCs w:val="24"/>
          <w:lang w:val="lv-LV"/>
        </w:rPr>
        <w:t xml:space="preserve"> programmas Vadošā iestāde un ESPON ETSG un kas reglamentē Vienīgās darbības īstenošanu. </w:t>
      </w:r>
      <w:r>
        <w:rPr>
          <w:rFonts w:ascii="Times New Roman" w:hAnsi="Times New Roman"/>
          <w:sz w:val="24"/>
          <w:szCs w:val="24"/>
          <w:lang w:val="lv-LV"/>
        </w:rPr>
        <w:t>Dotāciju</w:t>
      </w:r>
      <w:r w:rsidR="00CF5E67" w:rsidRPr="004C576C">
        <w:rPr>
          <w:rFonts w:ascii="Times New Roman" w:hAnsi="Times New Roman"/>
          <w:sz w:val="24"/>
          <w:szCs w:val="24"/>
          <w:lang w:val="lv-LV"/>
        </w:rPr>
        <w:t xml:space="preserve"> </w:t>
      </w:r>
      <w:r>
        <w:rPr>
          <w:rFonts w:ascii="Times New Roman" w:hAnsi="Times New Roman"/>
          <w:sz w:val="24"/>
          <w:szCs w:val="24"/>
          <w:lang w:val="lv-LV"/>
        </w:rPr>
        <w:t>no</w:t>
      </w:r>
      <w:r w:rsidR="00CF5E67" w:rsidRPr="004C576C">
        <w:rPr>
          <w:rFonts w:ascii="Times New Roman" w:hAnsi="Times New Roman"/>
          <w:sz w:val="24"/>
          <w:szCs w:val="24"/>
          <w:lang w:val="lv-LV"/>
        </w:rPr>
        <w:t xml:space="preserve">līgums piešķir kopējo finansējumu (tai skaitā ERAF finansējumu, nacionālā līdzfinansējuma iemaksas un Partnervalstu iemaksas) un nosaka noteikumus, saskaņā ar kuriem finansējums tiek piešķirts. </w:t>
      </w:r>
      <w:r>
        <w:rPr>
          <w:rFonts w:ascii="Times New Roman" w:hAnsi="Times New Roman"/>
          <w:sz w:val="24"/>
          <w:szCs w:val="24"/>
          <w:lang w:val="lv-LV"/>
        </w:rPr>
        <w:t>Dotāciju</w:t>
      </w:r>
      <w:r w:rsidR="00CF5E67" w:rsidRPr="004C576C">
        <w:rPr>
          <w:rFonts w:ascii="Times New Roman" w:hAnsi="Times New Roman"/>
          <w:sz w:val="24"/>
          <w:szCs w:val="24"/>
          <w:lang w:val="lv-LV"/>
        </w:rPr>
        <w:t xml:space="preserve"> </w:t>
      </w:r>
      <w:r>
        <w:rPr>
          <w:rFonts w:ascii="Times New Roman" w:hAnsi="Times New Roman"/>
          <w:sz w:val="24"/>
          <w:szCs w:val="24"/>
          <w:lang w:val="lv-LV"/>
        </w:rPr>
        <w:t>no</w:t>
      </w:r>
      <w:r w:rsidR="00CF5E67" w:rsidRPr="004C576C">
        <w:rPr>
          <w:rFonts w:ascii="Times New Roman" w:hAnsi="Times New Roman"/>
          <w:sz w:val="24"/>
          <w:szCs w:val="24"/>
          <w:lang w:val="lv-LV"/>
        </w:rPr>
        <w:t>līguma pielikumi ir Darbības specifikācija, apstiprinātais Darbības piedāvājums ar tā pielikumiem</w:t>
      </w:r>
      <w:r w:rsidR="00CF5E67">
        <w:rPr>
          <w:rFonts w:ascii="Times New Roman" w:hAnsi="Times New Roman"/>
          <w:sz w:val="24"/>
          <w:szCs w:val="24"/>
          <w:lang w:val="lv-LV"/>
        </w:rPr>
        <w:t xml:space="preserve"> pir</w:t>
      </w:r>
      <w:r w:rsidR="0032037F">
        <w:rPr>
          <w:rFonts w:ascii="Times New Roman" w:hAnsi="Times New Roman"/>
          <w:sz w:val="24"/>
          <w:szCs w:val="24"/>
          <w:lang w:val="lv-LV"/>
        </w:rPr>
        <w:t>m</w:t>
      </w:r>
      <w:r w:rsidR="00CF5E67">
        <w:rPr>
          <w:rFonts w:ascii="Times New Roman" w:hAnsi="Times New Roman"/>
          <w:sz w:val="24"/>
          <w:szCs w:val="24"/>
          <w:lang w:val="lv-LV"/>
        </w:rPr>
        <w:t>ais Tematisko darba plānu (</w:t>
      </w:r>
      <w:r w:rsidR="0032037F">
        <w:rPr>
          <w:rFonts w:ascii="Times New Roman" w:hAnsi="Times New Roman"/>
          <w:sz w:val="24"/>
          <w:szCs w:val="24"/>
          <w:lang w:val="lv-LV"/>
        </w:rPr>
        <w:t xml:space="preserve">turpmāk - </w:t>
      </w:r>
      <w:r w:rsidR="00CF5E67">
        <w:rPr>
          <w:rFonts w:ascii="Times New Roman" w:hAnsi="Times New Roman"/>
          <w:sz w:val="24"/>
          <w:szCs w:val="24"/>
          <w:lang w:val="lv-LV"/>
        </w:rPr>
        <w:t>TDP) komplekts</w:t>
      </w:r>
      <w:r w:rsidR="00CF5E67" w:rsidRPr="004C576C">
        <w:rPr>
          <w:rFonts w:ascii="Times New Roman" w:hAnsi="Times New Roman"/>
          <w:sz w:val="24"/>
          <w:szCs w:val="24"/>
          <w:lang w:val="lv-LV"/>
        </w:rPr>
        <w:t xml:space="preserve"> un </w:t>
      </w:r>
      <w:r w:rsidR="00560077">
        <w:rPr>
          <w:rFonts w:ascii="Times New Roman" w:hAnsi="Times New Roman"/>
          <w:sz w:val="24"/>
          <w:szCs w:val="24"/>
          <w:lang w:val="lv-LV"/>
        </w:rPr>
        <w:t>pēcāk arī to</w:t>
      </w:r>
      <w:r w:rsidR="00CF5E67" w:rsidRPr="004C576C">
        <w:rPr>
          <w:rFonts w:ascii="Times New Roman" w:hAnsi="Times New Roman"/>
          <w:sz w:val="24"/>
          <w:szCs w:val="24"/>
          <w:lang w:val="lv-LV"/>
        </w:rPr>
        <w:t xml:space="preserve"> papildinājums, kurā atrunātas saistības, kas izriet no Uzraudzības komitejas veiktā Darbības p</w:t>
      </w:r>
      <w:r w:rsidR="00CF5E67">
        <w:rPr>
          <w:rFonts w:ascii="Times New Roman" w:hAnsi="Times New Roman"/>
          <w:sz w:val="24"/>
          <w:szCs w:val="24"/>
          <w:lang w:val="lv-LV"/>
        </w:rPr>
        <w:t>riekšlikuma</w:t>
      </w:r>
      <w:r w:rsidR="00CF5E67" w:rsidRPr="004C576C">
        <w:rPr>
          <w:rFonts w:ascii="Times New Roman" w:hAnsi="Times New Roman"/>
          <w:sz w:val="24"/>
          <w:szCs w:val="24"/>
          <w:lang w:val="lv-LV"/>
        </w:rPr>
        <w:t xml:space="preserve"> izvērtējuma. </w:t>
      </w:r>
    </w:p>
    <w:p w14:paraId="7BC23E74" w14:textId="77777777"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Papildus iepriekš definētajiem terminiem piemērojamas arī pārējās definīcijas, kas izklāstītas KNR 2. pantā.</w:t>
      </w:r>
    </w:p>
    <w:p w14:paraId="65E2EBDD" w14:textId="77777777" w:rsidR="00CF5E67" w:rsidRPr="004C576C" w:rsidRDefault="00CF5E67" w:rsidP="00CF5E67">
      <w:pPr>
        <w:pStyle w:val="Heading1"/>
        <w:rPr>
          <w:rFonts w:ascii="Times New Roman" w:hAnsi="Times New Roman"/>
          <w:szCs w:val="24"/>
          <w:lang w:val="lv-LV"/>
        </w:rPr>
      </w:pPr>
      <w:bookmarkStart w:id="9" w:name="_Toc429386294"/>
      <w:bookmarkStart w:id="10" w:name="_Toc83667677"/>
      <w:r w:rsidRPr="004C576C">
        <w:rPr>
          <w:rFonts w:ascii="Times New Roman" w:hAnsi="Times New Roman"/>
          <w:szCs w:val="24"/>
          <w:lang w:val="lv-LV"/>
        </w:rPr>
        <w:t>3. NODAĻA. ATBILDĪBAS MEHĀNISMA ĪPAŠAIS KONTEKSTS, MĒRĶIS UN GALVENIE ELEMENTI</w:t>
      </w:r>
      <w:bookmarkEnd w:id="9"/>
      <w:bookmarkEnd w:id="10"/>
    </w:p>
    <w:p w14:paraId="4D7F63B6" w14:textId="77777777" w:rsidR="00CF5E67" w:rsidRPr="004C576C" w:rsidRDefault="00CF5E67" w:rsidP="00CF5E67">
      <w:pPr>
        <w:pStyle w:val="Heading2"/>
        <w:rPr>
          <w:rFonts w:ascii="Times New Roman" w:hAnsi="Times New Roman"/>
          <w:sz w:val="24"/>
          <w:szCs w:val="24"/>
          <w:lang w:val="lv-LV"/>
        </w:rPr>
      </w:pPr>
      <w:bookmarkStart w:id="11" w:name="_Toc429386295"/>
      <w:bookmarkStart w:id="12" w:name="_Toc83667678"/>
      <w:r w:rsidRPr="004C576C">
        <w:rPr>
          <w:rFonts w:ascii="Times New Roman" w:hAnsi="Times New Roman"/>
          <w:sz w:val="24"/>
          <w:szCs w:val="24"/>
          <w:lang w:val="lv-LV"/>
        </w:rPr>
        <w:t>3.1 – NEATTIECINĀMO IZDEVUMU SEGUMS – ATBILDĪBAS GADĪJUMI</w:t>
      </w:r>
      <w:bookmarkEnd w:id="11"/>
      <w:bookmarkEnd w:id="12"/>
    </w:p>
    <w:p w14:paraId="2B212292" w14:textId="487B9049"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ESPON Vadošā iestāde noslēdz </w:t>
      </w:r>
      <w:r w:rsidR="00E9545A">
        <w:rPr>
          <w:rFonts w:ascii="Times New Roman" w:hAnsi="Times New Roman"/>
          <w:sz w:val="24"/>
          <w:szCs w:val="24"/>
          <w:lang w:val="lv-LV"/>
        </w:rPr>
        <w:t>Dotāciju</w:t>
      </w:r>
      <w:r w:rsidRPr="004C576C">
        <w:rPr>
          <w:rFonts w:ascii="Times New Roman" w:hAnsi="Times New Roman"/>
          <w:sz w:val="24"/>
          <w:szCs w:val="24"/>
          <w:lang w:val="lv-LV"/>
        </w:rPr>
        <w:t xml:space="preserve"> </w:t>
      </w:r>
      <w:r w:rsidR="00E9545A">
        <w:rPr>
          <w:rFonts w:ascii="Times New Roman" w:hAnsi="Times New Roman"/>
          <w:sz w:val="24"/>
          <w:szCs w:val="24"/>
          <w:lang w:val="lv-LV"/>
        </w:rPr>
        <w:t>no</w:t>
      </w:r>
      <w:r w:rsidRPr="004C576C">
        <w:rPr>
          <w:rFonts w:ascii="Times New Roman" w:hAnsi="Times New Roman"/>
          <w:sz w:val="24"/>
          <w:szCs w:val="24"/>
          <w:lang w:val="lv-LV"/>
        </w:rPr>
        <w:t xml:space="preserve">līgumu ar </w:t>
      </w:r>
      <w:r>
        <w:rPr>
          <w:rFonts w:ascii="Times New Roman" w:hAnsi="Times New Roman"/>
          <w:sz w:val="24"/>
          <w:szCs w:val="24"/>
          <w:lang w:val="lv-LV"/>
        </w:rPr>
        <w:t xml:space="preserve">ESPON </w:t>
      </w:r>
      <w:r w:rsidRPr="004C576C">
        <w:rPr>
          <w:rFonts w:ascii="Times New Roman" w:hAnsi="Times New Roman"/>
          <w:sz w:val="24"/>
          <w:szCs w:val="24"/>
          <w:lang w:val="lv-LV"/>
        </w:rPr>
        <w:t>ETSG, ietverot pantu par atbildību un vienošanos par atmaksāšanu attiecībā uz neattiecināmajiem izdevumiem ERAF noteikumu izpratnē.</w:t>
      </w:r>
    </w:p>
    <w:p w14:paraId="313812A2" w14:textId="350C169D"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Īstenojot </w:t>
      </w:r>
      <w:r w:rsidR="00E9545A">
        <w:rPr>
          <w:rFonts w:ascii="Times New Roman" w:hAnsi="Times New Roman"/>
          <w:sz w:val="24"/>
          <w:szCs w:val="24"/>
          <w:lang w:val="lv-LV"/>
        </w:rPr>
        <w:t>Dotāciju</w:t>
      </w:r>
      <w:r w:rsidRPr="004C576C">
        <w:rPr>
          <w:rFonts w:ascii="Times New Roman" w:hAnsi="Times New Roman"/>
          <w:sz w:val="24"/>
          <w:szCs w:val="24"/>
          <w:lang w:val="lv-LV"/>
        </w:rPr>
        <w:t xml:space="preserve"> </w:t>
      </w:r>
      <w:r w:rsidR="00E9545A">
        <w:rPr>
          <w:rFonts w:ascii="Times New Roman" w:hAnsi="Times New Roman"/>
          <w:sz w:val="24"/>
          <w:szCs w:val="24"/>
          <w:lang w:val="lv-LV"/>
        </w:rPr>
        <w:t>no</w:t>
      </w:r>
      <w:r w:rsidRPr="004C576C">
        <w:rPr>
          <w:rFonts w:ascii="Times New Roman" w:hAnsi="Times New Roman"/>
          <w:sz w:val="24"/>
          <w:szCs w:val="24"/>
          <w:lang w:val="lv-LV"/>
        </w:rPr>
        <w:t>līgumu, var rasties izdevumi, kas nav attiecināmi uz ERAF finansējumu. Tā kā ESPON ETSG rīcībā nav jebkāda pašu kapitāla, kas varētu segt šādus neattiecināmos izdevumus, tiek izmantots Atbildības mehānisms.</w:t>
      </w:r>
    </w:p>
    <w:p w14:paraId="4F2F914A" w14:textId="77777777"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lastRenderedPageBreak/>
        <w:t>Neattiecināmie izdevumi var tikt noteikti Vienīgās darbības īstenošanas brīžos un to var īstenot dažādi:</w:t>
      </w:r>
    </w:p>
    <w:p w14:paraId="6EE5A5D0" w14:textId="77777777" w:rsidR="00CF5E67" w:rsidRPr="004C576C" w:rsidRDefault="00CF5E67" w:rsidP="00CF5E67">
      <w:pPr>
        <w:pStyle w:val="NoSpacing"/>
        <w:numPr>
          <w:ilvl w:val="0"/>
          <w:numId w:val="7"/>
        </w:numPr>
        <w:spacing w:after="120"/>
        <w:jc w:val="both"/>
        <w:rPr>
          <w:rFonts w:ascii="Times New Roman" w:hAnsi="Times New Roman"/>
          <w:sz w:val="24"/>
          <w:szCs w:val="24"/>
          <w:lang w:val="lv-LV"/>
        </w:rPr>
      </w:pPr>
      <w:r w:rsidRPr="004C576C">
        <w:rPr>
          <w:rFonts w:ascii="Times New Roman" w:hAnsi="Times New Roman"/>
          <w:sz w:val="24"/>
          <w:szCs w:val="24"/>
          <w:lang w:val="lv-LV"/>
        </w:rPr>
        <w:t>pirms deklarēšanas Eiropas Komisijai (</w:t>
      </w:r>
      <w:r>
        <w:rPr>
          <w:rFonts w:ascii="Times New Roman" w:hAnsi="Times New Roman"/>
          <w:sz w:val="24"/>
          <w:szCs w:val="24"/>
          <w:lang w:val="lv-LV"/>
        </w:rPr>
        <w:t xml:space="preserve">to dara </w:t>
      </w:r>
      <w:r w:rsidRPr="004C576C">
        <w:rPr>
          <w:rFonts w:ascii="Times New Roman" w:hAnsi="Times New Roman"/>
          <w:sz w:val="24"/>
          <w:szCs w:val="24"/>
          <w:lang w:val="lv-LV"/>
        </w:rPr>
        <w:t>Vadošā iestāde</w:t>
      </w:r>
      <w:r>
        <w:rPr>
          <w:rFonts w:ascii="Times New Roman" w:hAnsi="Times New Roman"/>
          <w:sz w:val="24"/>
          <w:szCs w:val="24"/>
          <w:lang w:val="lv-LV"/>
        </w:rPr>
        <w:t xml:space="preserve"> veicot uzraudzības verifikāciju un īstenošanas ziņojumu sertifikāciju vai </w:t>
      </w:r>
      <w:r w:rsidRPr="004C576C">
        <w:rPr>
          <w:rFonts w:ascii="Times New Roman" w:hAnsi="Times New Roman"/>
          <w:sz w:val="24"/>
          <w:szCs w:val="24"/>
          <w:lang w:val="lv-LV"/>
        </w:rPr>
        <w:t>savu uz vietas veikto pārbaužu ietvaros);</w:t>
      </w:r>
    </w:p>
    <w:p w14:paraId="7B1705E9" w14:textId="77777777" w:rsidR="00CF5E67" w:rsidRPr="004C576C" w:rsidRDefault="00CF5E67" w:rsidP="00CF5E67">
      <w:pPr>
        <w:pStyle w:val="NoSpacing"/>
        <w:numPr>
          <w:ilvl w:val="0"/>
          <w:numId w:val="7"/>
        </w:numPr>
        <w:spacing w:after="120"/>
        <w:jc w:val="both"/>
        <w:rPr>
          <w:rFonts w:ascii="Times New Roman" w:hAnsi="Times New Roman"/>
          <w:sz w:val="24"/>
          <w:szCs w:val="24"/>
          <w:lang w:val="lv-LV"/>
        </w:rPr>
      </w:pPr>
      <w:r w:rsidRPr="004C576C">
        <w:rPr>
          <w:rFonts w:ascii="Times New Roman" w:hAnsi="Times New Roman"/>
          <w:sz w:val="24"/>
          <w:szCs w:val="24"/>
          <w:lang w:val="lv-LV"/>
        </w:rPr>
        <w:t>pēc deklarēšanas Eiropas Komisijai ( Vadošā iestāde savu uz vietas veikto pārbaužu ietvaros, Revīzijas iestāde, Eiropas Komisijas vai Eiropas Revidentu tiesas veiktās revīzijās).</w:t>
      </w:r>
    </w:p>
    <w:p w14:paraId="3D4AA478" w14:textId="326578AA"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Visus neattiecināmos izdevumus, kas rodas </w:t>
      </w:r>
      <w:r>
        <w:rPr>
          <w:rFonts w:ascii="Times New Roman" w:hAnsi="Times New Roman"/>
          <w:sz w:val="24"/>
          <w:szCs w:val="24"/>
          <w:lang w:val="lv-LV"/>
        </w:rPr>
        <w:t>ESPON ETSG</w:t>
      </w:r>
      <w:r w:rsidRPr="004C576C">
        <w:rPr>
          <w:rFonts w:ascii="Times New Roman" w:hAnsi="Times New Roman"/>
          <w:sz w:val="24"/>
          <w:szCs w:val="24"/>
          <w:lang w:val="lv-LV"/>
        </w:rPr>
        <w:t xml:space="preserve"> </w:t>
      </w:r>
      <w:r w:rsidR="00E9545A">
        <w:rPr>
          <w:rFonts w:ascii="Times New Roman" w:hAnsi="Times New Roman"/>
          <w:sz w:val="24"/>
          <w:szCs w:val="24"/>
          <w:lang w:val="lv-LV"/>
        </w:rPr>
        <w:t>Dotāciju</w:t>
      </w:r>
      <w:r w:rsidRPr="004C576C">
        <w:rPr>
          <w:rFonts w:ascii="Times New Roman" w:hAnsi="Times New Roman"/>
          <w:sz w:val="24"/>
          <w:szCs w:val="24"/>
          <w:lang w:val="lv-LV"/>
        </w:rPr>
        <w:t xml:space="preserve"> </w:t>
      </w:r>
      <w:r w:rsidR="00E9545A">
        <w:rPr>
          <w:rFonts w:ascii="Times New Roman" w:hAnsi="Times New Roman"/>
          <w:sz w:val="24"/>
          <w:szCs w:val="24"/>
          <w:lang w:val="lv-LV"/>
        </w:rPr>
        <w:t>no</w:t>
      </w:r>
      <w:r w:rsidRPr="004C576C">
        <w:rPr>
          <w:rFonts w:ascii="Times New Roman" w:hAnsi="Times New Roman"/>
          <w:sz w:val="24"/>
          <w:szCs w:val="24"/>
          <w:lang w:val="lv-LV"/>
        </w:rPr>
        <w:t xml:space="preserve">līguma īstenošanas kontekstā, neatkarīgi no tā kad tie tikuši atklāti, jāsedz no Atbildības mehānisma, kā noteikts 1.2. un 5.2. punktā Jebkurš pieprasījums atlīdzināšanai no Atbildības mehānisma turpmāk tekstā tiek saukts par </w:t>
      </w:r>
      <w:r w:rsidRPr="004C576C">
        <w:rPr>
          <w:rFonts w:ascii="Times New Roman" w:hAnsi="Times New Roman"/>
          <w:sz w:val="24"/>
          <w:szCs w:val="24"/>
          <w:u w:val="single"/>
          <w:lang w:val="lv-LV"/>
        </w:rPr>
        <w:t>Atbildības gadījumu</w:t>
      </w:r>
      <w:r w:rsidRPr="004C576C">
        <w:rPr>
          <w:rFonts w:ascii="Times New Roman" w:hAnsi="Times New Roman"/>
          <w:sz w:val="24"/>
          <w:szCs w:val="24"/>
          <w:lang w:val="lv-LV"/>
        </w:rPr>
        <w:t>.</w:t>
      </w:r>
    </w:p>
    <w:p w14:paraId="73946DED" w14:textId="6591314D" w:rsidR="00CF5E67" w:rsidRPr="004C576C" w:rsidRDefault="00CF5E67" w:rsidP="00CF5E67">
      <w:pPr>
        <w:pStyle w:val="Heading2"/>
        <w:rPr>
          <w:rFonts w:ascii="Times New Roman" w:hAnsi="Times New Roman"/>
          <w:sz w:val="24"/>
          <w:szCs w:val="24"/>
          <w:lang w:val="lv-LV"/>
        </w:rPr>
      </w:pPr>
      <w:bookmarkStart w:id="13" w:name="_Toc429386296"/>
      <w:bookmarkStart w:id="14" w:name="_Toc83667679"/>
      <w:r w:rsidRPr="004C576C">
        <w:rPr>
          <w:rFonts w:ascii="Times New Roman" w:hAnsi="Times New Roman"/>
          <w:sz w:val="24"/>
          <w:szCs w:val="24"/>
          <w:lang w:val="lv-LV"/>
        </w:rPr>
        <w:t xml:space="preserve">3.2 – ATBILDĪBA </w:t>
      </w:r>
      <w:r>
        <w:rPr>
          <w:rFonts w:ascii="Times New Roman" w:hAnsi="Times New Roman"/>
          <w:sz w:val="24"/>
          <w:szCs w:val="24"/>
          <w:lang w:val="lv-LV"/>
        </w:rPr>
        <w:t>“</w:t>
      </w:r>
      <w:r w:rsidRPr="004C576C">
        <w:rPr>
          <w:rFonts w:ascii="Times New Roman" w:hAnsi="Times New Roman"/>
          <w:sz w:val="24"/>
          <w:szCs w:val="24"/>
          <w:lang w:val="lv-LV"/>
        </w:rPr>
        <w:t>ESPON 20</w:t>
      </w:r>
      <w:r>
        <w:rPr>
          <w:rFonts w:ascii="Times New Roman" w:hAnsi="Times New Roman"/>
          <w:sz w:val="24"/>
          <w:szCs w:val="24"/>
          <w:lang w:val="lv-LV"/>
        </w:rPr>
        <w:t>3</w:t>
      </w:r>
      <w:r w:rsidRPr="004C576C">
        <w:rPr>
          <w:rFonts w:ascii="Times New Roman" w:hAnsi="Times New Roman"/>
          <w:sz w:val="24"/>
          <w:szCs w:val="24"/>
          <w:lang w:val="lv-LV"/>
        </w:rPr>
        <w:t>0</w:t>
      </w:r>
      <w:r>
        <w:rPr>
          <w:rFonts w:ascii="Times New Roman" w:hAnsi="Times New Roman"/>
          <w:sz w:val="24"/>
          <w:szCs w:val="24"/>
          <w:lang w:val="lv-LV"/>
        </w:rPr>
        <w:t>”</w:t>
      </w:r>
      <w:r w:rsidRPr="004C576C">
        <w:rPr>
          <w:rFonts w:ascii="Times New Roman" w:hAnsi="Times New Roman"/>
          <w:sz w:val="24"/>
          <w:szCs w:val="24"/>
          <w:lang w:val="lv-LV"/>
        </w:rPr>
        <w:t xml:space="preserve"> PROGRAMMAS IETVAROS SAISTĪBĀ AR ESPON ETSG</w:t>
      </w:r>
      <w:bookmarkEnd w:id="13"/>
      <w:bookmarkEnd w:id="14"/>
    </w:p>
    <w:p w14:paraId="204A113D" w14:textId="100D7D3F" w:rsidR="00CF5E67" w:rsidRPr="004C576C" w:rsidRDefault="00CF5E67" w:rsidP="00CF5E67">
      <w:pPr>
        <w:pStyle w:val="NoSpacing"/>
        <w:spacing w:after="120" w:line="276" w:lineRule="auto"/>
        <w:jc w:val="both"/>
        <w:rPr>
          <w:rFonts w:ascii="Times New Roman" w:hAnsi="Times New Roman"/>
          <w:sz w:val="24"/>
          <w:szCs w:val="24"/>
          <w:lang w:val="lv-LV"/>
        </w:rPr>
      </w:pPr>
      <w:r>
        <w:rPr>
          <w:rFonts w:ascii="Times New Roman" w:hAnsi="Times New Roman"/>
          <w:sz w:val="24"/>
          <w:szCs w:val="24"/>
          <w:lang w:val="lv-LV"/>
        </w:rPr>
        <w:t>“</w:t>
      </w:r>
      <w:r w:rsidRPr="004C576C">
        <w:rPr>
          <w:rFonts w:ascii="Times New Roman" w:hAnsi="Times New Roman"/>
          <w:sz w:val="24"/>
          <w:szCs w:val="24"/>
          <w:lang w:val="lv-LV"/>
        </w:rPr>
        <w:t>ESPON 20</w:t>
      </w:r>
      <w:r>
        <w:rPr>
          <w:rFonts w:ascii="Times New Roman" w:hAnsi="Times New Roman"/>
          <w:sz w:val="24"/>
          <w:szCs w:val="24"/>
          <w:lang w:val="lv-LV"/>
        </w:rPr>
        <w:t>3</w:t>
      </w:r>
      <w:r w:rsidRPr="004C576C">
        <w:rPr>
          <w:rFonts w:ascii="Times New Roman" w:hAnsi="Times New Roman"/>
          <w:sz w:val="24"/>
          <w:szCs w:val="24"/>
          <w:lang w:val="lv-LV"/>
        </w:rPr>
        <w:t>0</w:t>
      </w:r>
      <w:r>
        <w:rPr>
          <w:rFonts w:ascii="Times New Roman" w:hAnsi="Times New Roman"/>
          <w:sz w:val="24"/>
          <w:szCs w:val="24"/>
          <w:lang w:val="lv-LV"/>
        </w:rPr>
        <w:t>”</w:t>
      </w:r>
      <w:r w:rsidRPr="004C576C">
        <w:rPr>
          <w:rFonts w:ascii="Times New Roman" w:hAnsi="Times New Roman"/>
          <w:sz w:val="24"/>
          <w:szCs w:val="24"/>
          <w:lang w:val="lv-LV"/>
        </w:rPr>
        <w:t xml:space="preserve"> programmas </w:t>
      </w:r>
      <w:r w:rsidR="0015253A">
        <w:rPr>
          <w:rFonts w:ascii="Times New Roman" w:hAnsi="Times New Roman"/>
          <w:sz w:val="24"/>
          <w:szCs w:val="24"/>
          <w:lang w:val="lv-LV"/>
        </w:rPr>
        <w:t>7.3</w:t>
      </w:r>
      <w:r w:rsidR="008578EF">
        <w:rPr>
          <w:rFonts w:ascii="Times New Roman" w:hAnsi="Times New Roman"/>
          <w:sz w:val="24"/>
          <w:szCs w:val="24"/>
          <w:lang w:val="lv-LV"/>
        </w:rPr>
        <w:t>.</w:t>
      </w:r>
      <w:r w:rsidRPr="004C576C">
        <w:rPr>
          <w:rFonts w:ascii="Times New Roman" w:hAnsi="Times New Roman"/>
          <w:sz w:val="24"/>
          <w:szCs w:val="24"/>
          <w:lang w:val="lv-LV"/>
        </w:rPr>
        <w:t xml:space="preserve"> nodaļa un </w:t>
      </w:r>
      <w:r w:rsidR="008578EF">
        <w:rPr>
          <w:rFonts w:ascii="Times New Roman" w:hAnsi="Times New Roman"/>
          <w:sz w:val="24"/>
          <w:szCs w:val="24"/>
          <w:lang w:val="lv-LV"/>
        </w:rPr>
        <w:t>“</w:t>
      </w:r>
      <w:r w:rsidRPr="003C4EB3">
        <w:rPr>
          <w:rFonts w:ascii="Times New Roman" w:hAnsi="Times New Roman"/>
          <w:sz w:val="24"/>
          <w:szCs w:val="24"/>
          <w:lang w:val="lv-LV"/>
        </w:rPr>
        <w:t>Daudzpusējās vienošanās</w:t>
      </w:r>
      <w:r w:rsidRPr="00C81CEA">
        <w:rPr>
          <w:rFonts w:ascii="Times New Roman" w:hAnsi="Times New Roman"/>
          <w:sz w:val="24"/>
          <w:szCs w:val="24"/>
          <w:lang w:val="lv-LV"/>
        </w:rPr>
        <w:t xml:space="preserve"> starp </w:t>
      </w:r>
      <w:r w:rsidRPr="003C4EB3">
        <w:rPr>
          <w:rFonts w:ascii="Times New Roman" w:hAnsi="Times New Roman"/>
          <w:sz w:val="24"/>
          <w:szCs w:val="24"/>
          <w:lang w:val="lv-LV"/>
        </w:rPr>
        <w:t>Luksemburgu un dalībvalstīm par „ESPON 20</w:t>
      </w:r>
      <w:r w:rsidR="0063066B">
        <w:rPr>
          <w:rFonts w:ascii="Times New Roman" w:hAnsi="Times New Roman"/>
          <w:sz w:val="24"/>
          <w:szCs w:val="24"/>
          <w:lang w:val="lv-LV"/>
        </w:rPr>
        <w:t>3</w:t>
      </w:r>
      <w:r w:rsidRPr="003C4EB3">
        <w:rPr>
          <w:rFonts w:ascii="Times New Roman" w:hAnsi="Times New Roman"/>
          <w:sz w:val="24"/>
          <w:szCs w:val="24"/>
          <w:lang w:val="lv-LV"/>
        </w:rPr>
        <w:t xml:space="preserve">0” </w:t>
      </w:r>
      <w:proofErr w:type="spellStart"/>
      <w:r w:rsidR="00F3651D">
        <w:rPr>
          <w:rFonts w:ascii="Times New Roman" w:hAnsi="Times New Roman"/>
          <w:sz w:val="24"/>
          <w:szCs w:val="24"/>
          <w:lang w:val="lv-LV"/>
        </w:rPr>
        <w:t>starpreģionu</w:t>
      </w:r>
      <w:proofErr w:type="spellEnd"/>
      <w:r w:rsidR="00F3651D">
        <w:rPr>
          <w:rFonts w:ascii="Times New Roman" w:hAnsi="Times New Roman"/>
          <w:sz w:val="24"/>
          <w:szCs w:val="24"/>
          <w:lang w:val="lv-LV"/>
        </w:rPr>
        <w:t xml:space="preserve"> </w:t>
      </w:r>
      <w:r w:rsidRPr="003C4EB3">
        <w:rPr>
          <w:rFonts w:ascii="Times New Roman" w:hAnsi="Times New Roman"/>
          <w:sz w:val="24"/>
          <w:szCs w:val="24"/>
          <w:lang w:val="lv-LV"/>
        </w:rPr>
        <w:t>sadarbības programm</w:t>
      </w:r>
      <w:r w:rsidR="00F3651D">
        <w:rPr>
          <w:rFonts w:ascii="Times New Roman" w:hAnsi="Times New Roman"/>
          <w:sz w:val="24"/>
          <w:szCs w:val="24"/>
          <w:lang w:val="lv-LV"/>
        </w:rPr>
        <w:t>u</w:t>
      </w:r>
      <w:r w:rsidR="008578EF">
        <w:rPr>
          <w:rFonts w:ascii="Times New Roman" w:hAnsi="Times New Roman"/>
          <w:sz w:val="24"/>
          <w:szCs w:val="24"/>
          <w:lang w:val="lv-LV"/>
        </w:rPr>
        <w:t>”</w:t>
      </w:r>
      <w:r w:rsidRPr="004C576C">
        <w:rPr>
          <w:rFonts w:ascii="Times New Roman" w:hAnsi="Times New Roman"/>
          <w:sz w:val="24"/>
          <w:szCs w:val="24"/>
          <w:lang w:val="lv-LV"/>
        </w:rPr>
        <w:t xml:space="preserve"> 2</w:t>
      </w:r>
      <w:r>
        <w:rPr>
          <w:rFonts w:ascii="Times New Roman" w:hAnsi="Times New Roman"/>
          <w:sz w:val="24"/>
          <w:szCs w:val="24"/>
          <w:lang w:val="lv-LV"/>
        </w:rPr>
        <w:t>2</w:t>
      </w:r>
      <w:r w:rsidRPr="004C576C">
        <w:rPr>
          <w:rFonts w:ascii="Times New Roman" w:hAnsi="Times New Roman"/>
          <w:sz w:val="24"/>
          <w:szCs w:val="24"/>
          <w:lang w:val="lv-LV"/>
        </w:rPr>
        <w:t xml:space="preserve">. pants nosaka situācijas, kurās atbildība par neattiecināmo izdevumu iespējamu atmaksāšanu var tikt saistīta ar izdevumiem, ko veikusi ESPON ETSG </w:t>
      </w:r>
      <w:r w:rsidR="00E9545A">
        <w:rPr>
          <w:rFonts w:ascii="Times New Roman" w:hAnsi="Times New Roman"/>
          <w:sz w:val="24"/>
          <w:szCs w:val="24"/>
          <w:lang w:val="lv-LV"/>
        </w:rPr>
        <w:t>Dotāciju</w:t>
      </w:r>
      <w:r w:rsidRPr="004C576C">
        <w:rPr>
          <w:rFonts w:ascii="Times New Roman" w:hAnsi="Times New Roman"/>
          <w:sz w:val="24"/>
          <w:szCs w:val="24"/>
          <w:lang w:val="lv-LV"/>
        </w:rPr>
        <w:t xml:space="preserve"> </w:t>
      </w:r>
      <w:r w:rsidR="00E9545A">
        <w:rPr>
          <w:rFonts w:ascii="Times New Roman" w:hAnsi="Times New Roman"/>
          <w:sz w:val="24"/>
          <w:szCs w:val="24"/>
          <w:lang w:val="lv-LV"/>
        </w:rPr>
        <w:t>no</w:t>
      </w:r>
      <w:r w:rsidRPr="004C576C">
        <w:rPr>
          <w:rFonts w:ascii="Times New Roman" w:hAnsi="Times New Roman"/>
          <w:sz w:val="24"/>
          <w:szCs w:val="24"/>
          <w:lang w:val="lv-LV"/>
        </w:rPr>
        <w:t>līguma ietvaros:</w:t>
      </w:r>
    </w:p>
    <w:p w14:paraId="5484199D" w14:textId="717EFA38" w:rsidR="00CF5E67" w:rsidRPr="004C576C" w:rsidRDefault="00CF5E67" w:rsidP="00CF5E67">
      <w:pPr>
        <w:pStyle w:val="NoSpacing"/>
        <w:numPr>
          <w:ilvl w:val="0"/>
          <w:numId w:val="5"/>
        </w:numPr>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tieši rodoties iespējami neattiecināmiem izdevumiem vai nevienmērīgumam finansiālā ietekmē, ko caur </w:t>
      </w:r>
      <w:r w:rsidR="00E9545A">
        <w:rPr>
          <w:rFonts w:ascii="Times New Roman" w:hAnsi="Times New Roman"/>
          <w:sz w:val="24"/>
          <w:szCs w:val="24"/>
          <w:lang w:val="lv-LV"/>
        </w:rPr>
        <w:t>Dotāciju</w:t>
      </w:r>
      <w:r>
        <w:rPr>
          <w:rFonts w:ascii="Times New Roman" w:hAnsi="Times New Roman"/>
          <w:sz w:val="24"/>
          <w:szCs w:val="24"/>
          <w:lang w:val="lv-LV"/>
        </w:rPr>
        <w:t xml:space="preserve"> </w:t>
      </w:r>
      <w:r w:rsidR="00E9545A">
        <w:rPr>
          <w:rFonts w:ascii="Times New Roman" w:hAnsi="Times New Roman"/>
          <w:sz w:val="24"/>
          <w:szCs w:val="24"/>
          <w:lang w:val="lv-LV"/>
        </w:rPr>
        <w:t>no</w:t>
      </w:r>
      <w:r>
        <w:rPr>
          <w:rFonts w:ascii="Times New Roman" w:hAnsi="Times New Roman"/>
          <w:sz w:val="24"/>
          <w:szCs w:val="24"/>
          <w:lang w:val="lv-LV"/>
        </w:rPr>
        <w:t>līgumu</w:t>
      </w:r>
      <w:r w:rsidRPr="004C576C">
        <w:rPr>
          <w:rFonts w:ascii="Times New Roman" w:hAnsi="Times New Roman"/>
          <w:sz w:val="24"/>
          <w:szCs w:val="24"/>
          <w:lang w:val="lv-LV"/>
        </w:rPr>
        <w:t xml:space="preserve"> finansē </w:t>
      </w:r>
      <w:r>
        <w:rPr>
          <w:rFonts w:ascii="Times New Roman" w:hAnsi="Times New Roman"/>
          <w:sz w:val="24"/>
          <w:szCs w:val="24"/>
          <w:lang w:val="lv-LV"/>
        </w:rPr>
        <w:t>ESPON ETSG</w:t>
      </w:r>
      <w:r w:rsidRPr="004C576C">
        <w:rPr>
          <w:rFonts w:ascii="Times New Roman" w:hAnsi="Times New Roman"/>
          <w:sz w:val="24"/>
          <w:szCs w:val="24"/>
          <w:lang w:val="lv-LV"/>
        </w:rPr>
        <w:t>, par ko finansiāla atbildība ir jāuzņemas ESPON ETSG;</w:t>
      </w:r>
    </w:p>
    <w:p w14:paraId="6AD78EAC" w14:textId="70A8F585" w:rsidR="00CF5E67" w:rsidRPr="004C576C" w:rsidRDefault="00CF5E67" w:rsidP="00CF5E67">
      <w:pPr>
        <w:pStyle w:val="NoSpacing"/>
        <w:numPr>
          <w:ilvl w:val="0"/>
          <w:numId w:val="5"/>
        </w:numPr>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netieši rodoties iespējamiem noteikto summu labojumiem programmas līmenī, atbildību par ko attiecībā pret proporciju, kas ir attiecināma uz </w:t>
      </w:r>
      <w:r w:rsidR="00E9545A">
        <w:rPr>
          <w:rFonts w:ascii="Times New Roman" w:hAnsi="Times New Roman"/>
          <w:sz w:val="24"/>
          <w:szCs w:val="24"/>
          <w:lang w:val="lv-LV"/>
        </w:rPr>
        <w:t>Dotāciju</w:t>
      </w:r>
      <w:r w:rsidRPr="004C576C">
        <w:rPr>
          <w:rFonts w:ascii="Times New Roman" w:hAnsi="Times New Roman"/>
          <w:sz w:val="24"/>
          <w:szCs w:val="24"/>
          <w:lang w:val="lv-LV"/>
        </w:rPr>
        <w:t xml:space="preserve"> </w:t>
      </w:r>
      <w:r w:rsidR="00E9545A">
        <w:rPr>
          <w:rFonts w:ascii="Times New Roman" w:hAnsi="Times New Roman"/>
          <w:sz w:val="24"/>
          <w:szCs w:val="24"/>
          <w:lang w:val="lv-LV"/>
        </w:rPr>
        <w:t>no</w:t>
      </w:r>
      <w:r w:rsidRPr="004C576C">
        <w:rPr>
          <w:rFonts w:ascii="Times New Roman" w:hAnsi="Times New Roman"/>
          <w:sz w:val="24"/>
          <w:szCs w:val="24"/>
          <w:lang w:val="lv-LV"/>
        </w:rPr>
        <w:t>līgumu, ir jāuzņemas ESPON ETSG.</w:t>
      </w:r>
    </w:p>
    <w:p w14:paraId="6A89593D" w14:textId="77777777" w:rsidR="00CF5E67" w:rsidRPr="004C576C" w:rsidRDefault="00CF5E67" w:rsidP="00CF5E67">
      <w:pPr>
        <w:pStyle w:val="Heading2"/>
        <w:rPr>
          <w:rFonts w:ascii="Times New Roman" w:hAnsi="Times New Roman"/>
          <w:sz w:val="24"/>
          <w:szCs w:val="24"/>
          <w:lang w:val="lv-LV"/>
        </w:rPr>
      </w:pPr>
      <w:bookmarkStart w:id="15" w:name="_Toc429386297"/>
      <w:bookmarkStart w:id="16" w:name="_Toc83667680"/>
      <w:r w:rsidRPr="004C576C">
        <w:rPr>
          <w:rFonts w:ascii="Times New Roman" w:hAnsi="Times New Roman"/>
          <w:sz w:val="24"/>
          <w:szCs w:val="24"/>
          <w:lang w:val="lv-LV"/>
        </w:rPr>
        <w:t>3.3 –ESPON ETSG LOCEKĻU ATBILDĪBA</w:t>
      </w:r>
      <w:bookmarkEnd w:id="15"/>
      <w:bookmarkEnd w:id="16"/>
    </w:p>
    <w:p w14:paraId="323163A2" w14:textId="77777777"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Atbildība, kas minēta 3.</w:t>
      </w:r>
      <w:r>
        <w:rPr>
          <w:rFonts w:ascii="Times New Roman" w:hAnsi="Times New Roman"/>
          <w:sz w:val="24"/>
          <w:szCs w:val="24"/>
          <w:lang w:val="lv-LV"/>
        </w:rPr>
        <w:t xml:space="preserve"> nodaļas </w:t>
      </w:r>
      <w:r w:rsidRPr="004C576C">
        <w:rPr>
          <w:rFonts w:ascii="Times New Roman" w:hAnsi="Times New Roman"/>
          <w:sz w:val="24"/>
          <w:szCs w:val="24"/>
          <w:lang w:val="lv-LV"/>
        </w:rPr>
        <w:t xml:space="preserve">2. </w:t>
      </w:r>
      <w:r>
        <w:rPr>
          <w:rFonts w:ascii="Times New Roman" w:hAnsi="Times New Roman"/>
          <w:sz w:val="24"/>
          <w:szCs w:val="24"/>
          <w:lang w:val="lv-LV"/>
        </w:rPr>
        <w:t>apakšnodaļā</w:t>
      </w:r>
      <w:r w:rsidRPr="004C576C">
        <w:rPr>
          <w:rFonts w:ascii="Times New Roman" w:hAnsi="Times New Roman"/>
          <w:sz w:val="24"/>
          <w:szCs w:val="24"/>
          <w:lang w:val="lv-LV"/>
        </w:rPr>
        <w:t>, ESPON ETSG dalībniekiem iestājas, pamatojoties uz ETSG Regulas 12.</w:t>
      </w:r>
      <w:r>
        <w:rPr>
          <w:rFonts w:ascii="Times New Roman" w:hAnsi="Times New Roman"/>
          <w:sz w:val="24"/>
          <w:szCs w:val="24"/>
          <w:lang w:val="lv-LV"/>
        </w:rPr>
        <w:t xml:space="preserve">panta </w:t>
      </w:r>
      <w:r w:rsidRPr="004C576C">
        <w:rPr>
          <w:rFonts w:ascii="Times New Roman" w:hAnsi="Times New Roman"/>
          <w:sz w:val="24"/>
          <w:szCs w:val="24"/>
          <w:lang w:val="lv-LV"/>
        </w:rPr>
        <w:t>2</w:t>
      </w:r>
      <w:r>
        <w:rPr>
          <w:rFonts w:ascii="Times New Roman" w:hAnsi="Times New Roman"/>
          <w:sz w:val="24"/>
          <w:szCs w:val="24"/>
          <w:lang w:val="lv-LV"/>
        </w:rPr>
        <w:t>.</w:t>
      </w:r>
      <w:r w:rsidRPr="004C576C">
        <w:rPr>
          <w:rFonts w:ascii="Times New Roman" w:hAnsi="Times New Roman"/>
          <w:sz w:val="24"/>
          <w:szCs w:val="24"/>
          <w:lang w:val="lv-LV"/>
        </w:rPr>
        <w:t xml:space="preserve"> p</w:t>
      </w:r>
      <w:r>
        <w:rPr>
          <w:rFonts w:ascii="Times New Roman" w:hAnsi="Times New Roman"/>
          <w:sz w:val="24"/>
          <w:szCs w:val="24"/>
          <w:lang w:val="lv-LV"/>
        </w:rPr>
        <w:t>unktu</w:t>
      </w:r>
      <w:r w:rsidRPr="004C576C">
        <w:rPr>
          <w:rFonts w:ascii="Times New Roman" w:hAnsi="Times New Roman"/>
          <w:sz w:val="24"/>
          <w:szCs w:val="24"/>
          <w:lang w:val="lv-LV"/>
        </w:rPr>
        <w:t>, kas nosaka, ka “...</w:t>
      </w:r>
      <w:r w:rsidRPr="004C576C">
        <w:rPr>
          <w:rFonts w:ascii="Times New Roman" w:hAnsi="Times New Roman"/>
          <w:i/>
          <w:sz w:val="24"/>
          <w:szCs w:val="24"/>
          <w:lang w:val="lv-LV"/>
        </w:rPr>
        <w:t>ciktāl ETSG aktīvi nav pietiekami, lai izpildītu tās saistības, tās dalībnieki ir atbildīgi par jebkādiem ETSG parādiem, un katra dalībnieka daļu nosaka proporcionāli tā ieguldījumam”</w:t>
      </w:r>
      <w:r w:rsidRPr="004C576C">
        <w:rPr>
          <w:rFonts w:ascii="Times New Roman" w:hAnsi="Times New Roman"/>
          <w:sz w:val="24"/>
          <w:szCs w:val="24"/>
          <w:lang w:val="lv-LV"/>
        </w:rPr>
        <w:t xml:space="preserve">. Tas nozīmē, ka, ja ESPON ETSG kā juridiska persona nespēj segt savu likumā paredzēto atbildību, tad ESPON ETSG dalībnieki, kā neierobežoti atbildīgie, ir kopīgi atbildīgi par </w:t>
      </w:r>
      <w:r>
        <w:rPr>
          <w:rFonts w:ascii="Times New Roman" w:hAnsi="Times New Roman"/>
          <w:sz w:val="24"/>
          <w:szCs w:val="24"/>
          <w:lang w:val="lv-LV"/>
        </w:rPr>
        <w:t xml:space="preserve">ESPON </w:t>
      </w:r>
      <w:r w:rsidRPr="004C576C">
        <w:rPr>
          <w:rFonts w:ascii="Times New Roman" w:hAnsi="Times New Roman"/>
          <w:sz w:val="24"/>
          <w:szCs w:val="24"/>
          <w:lang w:val="lv-LV"/>
        </w:rPr>
        <w:t>ETSG funkcionēšanas nodrošināšanu.</w:t>
      </w:r>
    </w:p>
    <w:p w14:paraId="2BC81BF7" w14:textId="77777777" w:rsidR="00CF5E67" w:rsidRPr="004C576C" w:rsidRDefault="00CF5E67" w:rsidP="00CF5E67">
      <w:pPr>
        <w:pStyle w:val="Heading2"/>
        <w:rPr>
          <w:rFonts w:ascii="Times New Roman" w:hAnsi="Times New Roman"/>
          <w:sz w:val="24"/>
          <w:szCs w:val="24"/>
          <w:lang w:val="lv-LV"/>
        </w:rPr>
      </w:pPr>
      <w:bookmarkStart w:id="17" w:name="_Toc429386298"/>
      <w:bookmarkStart w:id="18" w:name="_Toc83667681"/>
      <w:r w:rsidRPr="004C576C">
        <w:rPr>
          <w:rFonts w:ascii="Times New Roman" w:hAnsi="Times New Roman"/>
          <w:sz w:val="24"/>
          <w:szCs w:val="24"/>
          <w:lang w:val="lv-LV"/>
        </w:rPr>
        <w:t>3.4 – ATBILDĪBAS MEHĀNISMA MĒRĶIS</w:t>
      </w:r>
      <w:bookmarkEnd w:id="17"/>
      <w:bookmarkEnd w:id="18"/>
    </w:p>
    <w:p w14:paraId="36E58B9A" w14:textId="2C56CB38"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Atbildības mehānisms piedāvā ESPON ETSG, kas īsteno Vienīgo darbību visu </w:t>
      </w:r>
      <w:r>
        <w:rPr>
          <w:rFonts w:ascii="Times New Roman" w:hAnsi="Times New Roman"/>
          <w:sz w:val="24"/>
          <w:szCs w:val="24"/>
          <w:lang w:val="lv-LV"/>
        </w:rPr>
        <w:t>“</w:t>
      </w:r>
      <w:r w:rsidRPr="004C576C">
        <w:rPr>
          <w:rFonts w:ascii="Times New Roman" w:hAnsi="Times New Roman"/>
          <w:sz w:val="24"/>
          <w:szCs w:val="24"/>
          <w:lang w:val="lv-LV"/>
        </w:rPr>
        <w:t>ESPON 20</w:t>
      </w:r>
      <w:r>
        <w:rPr>
          <w:rFonts w:ascii="Times New Roman" w:hAnsi="Times New Roman"/>
          <w:sz w:val="24"/>
          <w:szCs w:val="24"/>
          <w:lang w:val="lv-LV"/>
        </w:rPr>
        <w:t>3</w:t>
      </w:r>
      <w:r w:rsidRPr="004C576C">
        <w:rPr>
          <w:rFonts w:ascii="Times New Roman" w:hAnsi="Times New Roman"/>
          <w:sz w:val="24"/>
          <w:szCs w:val="24"/>
          <w:lang w:val="lv-LV"/>
        </w:rPr>
        <w:t>0</w:t>
      </w:r>
      <w:r>
        <w:rPr>
          <w:rFonts w:ascii="Times New Roman" w:hAnsi="Times New Roman"/>
          <w:sz w:val="24"/>
          <w:szCs w:val="24"/>
          <w:lang w:val="lv-LV"/>
        </w:rPr>
        <w:t>”</w:t>
      </w:r>
      <w:r w:rsidR="00FC7430">
        <w:rPr>
          <w:rFonts w:ascii="Times New Roman" w:hAnsi="Times New Roman"/>
          <w:sz w:val="24"/>
          <w:szCs w:val="24"/>
          <w:lang w:val="lv-LV"/>
        </w:rPr>
        <w:t xml:space="preserve"> </w:t>
      </w:r>
      <w:r w:rsidRPr="004C576C">
        <w:rPr>
          <w:rFonts w:ascii="Times New Roman" w:hAnsi="Times New Roman"/>
          <w:sz w:val="24"/>
          <w:szCs w:val="24"/>
          <w:lang w:val="lv-LV"/>
        </w:rPr>
        <w:t xml:space="preserve">programmas dalībvalstu un partnervalstu vārdā un labā, nepieciešamo līdzdalībnieku, ar ko dalīt potenciālo ESPON ETSG dalībnieku finansiālo slogu, kas rodas no to neierobežotās atbildības saistībā ar </w:t>
      </w:r>
      <w:r w:rsidR="00E9545A">
        <w:rPr>
          <w:rFonts w:ascii="Times New Roman" w:hAnsi="Times New Roman"/>
          <w:sz w:val="24"/>
          <w:szCs w:val="24"/>
          <w:lang w:val="lv-LV"/>
        </w:rPr>
        <w:t>Dotāciju</w:t>
      </w:r>
      <w:r w:rsidRPr="004C576C">
        <w:rPr>
          <w:rFonts w:ascii="Times New Roman" w:hAnsi="Times New Roman"/>
          <w:sz w:val="24"/>
          <w:szCs w:val="24"/>
          <w:lang w:val="lv-LV"/>
        </w:rPr>
        <w:t xml:space="preserve"> </w:t>
      </w:r>
      <w:r w:rsidR="00E9545A">
        <w:rPr>
          <w:rFonts w:ascii="Times New Roman" w:hAnsi="Times New Roman"/>
          <w:sz w:val="24"/>
          <w:szCs w:val="24"/>
          <w:lang w:val="lv-LV"/>
        </w:rPr>
        <w:t>no</w:t>
      </w:r>
      <w:r w:rsidRPr="004C576C">
        <w:rPr>
          <w:rFonts w:ascii="Times New Roman" w:hAnsi="Times New Roman"/>
          <w:sz w:val="24"/>
          <w:szCs w:val="24"/>
          <w:lang w:val="lv-LV"/>
        </w:rPr>
        <w:t>līguma ietvaros piešķirto finansējumu.</w:t>
      </w:r>
    </w:p>
    <w:p w14:paraId="1F29679E" w14:textId="77777777"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lastRenderedPageBreak/>
        <w:t>Atbildības mehānisma mērķis ir atbalstīt ESPON ETSG pamata funkcionēšanu un nodrošināt nepieciešamos finanšu līdzekļus, lai ar dalītu pieeju segtu visus potenciāli radušos neattiecināmos izdevumus starp visām iesaistītajām dalībvalstīm un partnervalstīm.</w:t>
      </w:r>
    </w:p>
    <w:p w14:paraId="1278D59E" w14:textId="77777777" w:rsidR="00CF5E67" w:rsidRPr="004C576C" w:rsidRDefault="00CF5E67" w:rsidP="00CF5E67">
      <w:pPr>
        <w:pStyle w:val="Heading2"/>
        <w:rPr>
          <w:rFonts w:ascii="Times New Roman" w:hAnsi="Times New Roman"/>
          <w:sz w:val="24"/>
          <w:szCs w:val="24"/>
          <w:lang w:val="lv-LV"/>
        </w:rPr>
      </w:pPr>
      <w:bookmarkStart w:id="19" w:name="_Toc429386299"/>
      <w:bookmarkStart w:id="20" w:name="_Toc83667682"/>
      <w:r w:rsidRPr="004C576C">
        <w:rPr>
          <w:rFonts w:ascii="Times New Roman" w:hAnsi="Times New Roman"/>
          <w:sz w:val="24"/>
          <w:szCs w:val="24"/>
          <w:lang w:val="lv-LV"/>
        </w:rPr>
        <w:t>3.5 – ATBILDĪBAS MEHĀNISMA GALVENIE ELEMENTI</w:t>
      </w:r>
      <w:bookmarkEnd w:id="19"/>
      <w:bookmarkEnd w:id="20"/>
    </w:p>
    <w:p w14:paraId="40A7D13C" w14:textId="77777777"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Galvenie elementi, kas reglamentē Atbildības mehānisma darbību, ir šādi:</w:t>
      </w:r>
    </w:p>
    <w:p w14:paraId="0112C58A" w14:textId="7DD15C23" w:rsidR="00CF5E67" w:rsidRPr="004C576C" w:rsidRDefault="00CF5E67" w:rsidP="00CF5E67">
      <w:pPr>
        <w:pStyle w:val="NoSpacing"/>
        <w:numPr>
          <w:ilvl w:val="0"/>
          <w:numId w:val="1"/>
        </w:numPr>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nodrošinājums potenciāli neattiecināmo izdevumu riska novēršanai Vienīgās darbības īstenošanā saskaņā ar </w:t>
      </w:r>
      <w:r w:rsidR="00E9545A">
        <w:rPr>
          <w:rFonts w:ascii="Times New Roman" w:hAnsi="Times New Roman"/>
          <w:sz w:val="24"/>
          <w:szCs w:val="24"/>
          <w:lang w:val="lv-LV"/>
        </w:rPr>
        <w:t>Dotāciju</w:t>
      </w:r>
      <w:r w:rsidRPr="004C576C">
        <w:rPr>
          <w:rFonts w:ascii="Times New Roman" w:hAnsi="Times New Roman"/>
          <w:sz w:val="24"/>
          <w:szCs w:val="24"/>
          <w:lang w:val="lv-LV"/>
        </w:rPr>
        <w:t xml:space="preserve"> </w:t>
      </w:r>
      <w:r w:rsidR="00E9545A">
        <w:rPr>
          <w:rFonts w:ascii="Times New Roman" w:hAnsi="Times New Roman"/>
          <w:sz w:val="24"/>
          <w:szCs w:val="24"/>
          <w:lang w:val="lv-LV"/>
        </w:rPr>
        <w:t>no</w:t>
      </w:r>
      <w:r w:rsidRPr="004C576C">
        <w:rPr>
          <w:rFonts w:ascii="Times New Roman" w:hAnsi="Times New Roman"/>
          <w:sz w:val="24"/>
          <w:szCs w:val="24"/>
          <w:lang w:val="lv-LV"/>
        </w:rPr>
        <w:t>līgumu, kā aprakstīts</w:t>
      </w:r>
      <w:r>
        <w:rPr>
          <w:rFonts w:ascii="Times New Roman" w:hAnsi="Times New Roman"/>
          <w:sz w:val="24"/>
          <w:szCs w:val="24"/>
          <w:lang w:val="lv-LV"/>
        </w:rPr>
        <w:t xml:space="preserve"> šī dokumenta</w:t>
      </w:r>
      <w:r w:rsidRPr="004C576C">
        <w:rPr>
          <w:rFonts w:ascii="Times New Roman" w:hAnsi="Times New Roman"/>
          <w:sz w:val="24"/>
          <w:szCs w:val="24"/>
          <w:lang w:val="lv-LV"/>
        </w:rPr>
        <w:t xml:space="preserve"> 4. </w:t>
      </w:r>
      <w:r>
        <w:rPr>
          <w:rFonts w:ascii="Times New Roman" w:hAnsi="Times New Roman"/>
          <w:sz w:val="24"/>
          <w:szCs w:val="24"/>
          <w:lang w:val="lv-LV"/>
        </w:rPr>
        <w:t>nodaļā</w:t>
      </w:r>
      <w:r w:rsidRPr="004C576C">
        <w:rPr>
          <w:rFonts w:ascii="Times New Roman" w:hAnsi="Times New Roman"/>
          <w:sz w:val="24"/>
          <w:szCs w:val="24"/>
          <w:lang w:val="lv-LV"/>
        </w:rPr>
        <w:t>;</w:t>
      </w:r>
    </w:p>
    <w:p w14:paraId="4830F156" w14:textId="1359B6F6" w:rsidR="00CF5E67" w:rsidRPr="004C576C" w:rsidRDefault="00CF5E67" w:rsidP="00CF5E67">
      <w:pPr>
        <w:pStyle w:val="NoSpacing"/>
        <w:numPr>
          <w:ilvl w:val="0"/>
          <w:numId w:val="1"/>
        </w:numPr>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budžeta nodrošinājums kopīgam un ierobežotam Atbildības mehānisma finansējumam no </w:t>
      </w:r>
      <w:r w:rsidR="00FC1483">
        <w:rPr>
          <w:rFonts w:ascii="Times New Roman" w:hAnsi="Times New Roman"/>
          <w:sz w:val="24"/>
          <w:szCs w:val="24"/>
          <w:lang w:val="lv-LV"/>
        </w:rPr>
        <w:t>“</w:t>
      </w:r>
      <w:r w:rsidRPr="004C576C">
        <w:rPr>
          <w:rFonts w:ascii="Times New Roman" w:hAnsi="Times New Roman"/>
          <w:sz w:val="24"/>
          <w:szCs w:val="24"/>
          <w:lang w:val="lv-LV"/>
        </w:rPr>
        <w:t>ESPON 20</w:t>
      </w:r>
      <w:r w:rsidR="00126C46">
        <w:rPr>
          <w:rFonts w:ascii="Times New Roman" w:hAnsi="Times New Roman"/>
          <w:sz w:val="24"/>
          <w:szCs w:val="24"/>
          <w:lang w:val="lv-LV"/>
        </w:rPr>
        <w:t>3</w:t>
      </w:r>
      <w:r w:rsidRPr="004C576C">
        <w:rPr>
          <w:rFonts w:ascii="Times New Roman" w:hAnsi="Times New Roman"/>
          <w:sz w:val="24"/>
          <w:szCs w:val="24"/>
          <w:lang w:val="lv-LV"/>
        </w:rPr>
        <w:t>0</w:t>
      </w:r>
      <w:r w:rsidR="00FC1483">
        <w:rPr>
          <w:rFonts w:ascii="Times New Roman" w:hAnsi="Times New Roman"/>
          <w:sz w:val="24"/>
          <w:szCs w:val="24"/>
          <w:lang w:val="lv-LV"/>
        </w:rPr>
        <w:t>”</w:t>
      </w:r>
      <w:r w:rsidRPr="004C576C">
        <w:rPr>
          <w:rFonts w:ascii="Times New Roman" w:hAnsi="Times New Roman"/>
          <w:sz w:val="24"/>
          <w:szCs w:val="24"/>
          <w:lang w:val="lv-LV"/>
        </w:rPr>
        <w:t xml:space="preserve"> programmas dalībvalstīm līdz maksimāli 2 % no </w:t>
      </w:r>
      <w:r w:rsidR="00E9545A">
        <w:rPr>
          <w:rFonts w:ascii="Times New Roman" w:hAnsi="Times New Roman"/>
          <w:sz w:val="24"/>
          <w:szCs w:val="24"/>
          <w:lang w:val="lv-LV"/>
        </w:rPr>
        <w:t>Dotāciju</w:t>
      </w:r>
      <w:r w:rsidRPr="004C576C">
        <w:rPr>
          <w:rFonts w:ascii="Times New Roman" w:hAnsi="Times New Roman"/>
          <w:sz w:val="24"/>
          <w:szCs w:val="24"/>
          <w:lang w:val="lv-LV"/>
        </w:rPr>
        <w:t xml:space="preserve"> </w:t>
      </w:r>
      <w:r w:rsidR="00E9545A">
        <w:rPr>
          <w:rFonts w:ascii="Times New Roman" w:hAnsi="Times New Roman"/>
          <w:sz w:val="24"/>
          <w:szCs w:val="24"/>
          <w:lang w:val="lv-LV"/>
        </w:rPr>
        <w:t>no</w:t>
      </w:r>
      <w:r w:rsidRPr="004C576C">
        <w:rPr>
          <w:rFonts w:ascii="Times New Roman" w:hAnsi="Times New Roman"/>
          <w:sz w:val="24"/>
          <w:szCs w:val="24"/>
          <w:lang w:val="lv-LV"/>
        </w:rPr>
        <w:t xml:space="preserve">līguma </w:t>
      </w:r>
      <w:r>
        <w:rPr>
          <w:rFonts w:ascii="Times New Roman" w:hAnsi="Times New Roman"/>
          <w:sz w:val="24"/>
          <w:szCs w:val="24"/>
          <w:lang w:val="lv-LV"/>
        </w:rPr>
        <w:t>budžeta</w:t>
      </w:r>
      <w:r w:rsidRPr="004C576C">
        <w:rPr>
          <w:rFonts w:ascii="Times New Roman" w:hAnsi="Times New Roman"/>
          <w:sz w:val="24"/>
          <w:szCs w:val="24"/>
          <w:lang w:val="lv-LV"/>
        </w:rPr>
        <w:t xml:space="preserve">, ko parakstījusi ESPON ETSG, un ko papildina vienpusējs segums nepieciešamajam finansējumam virs 2 % no Luksemburgas Lielhercogistes, kā izklāstīts </w:t>
      </w:r>
      <w:r>
        <w:rPr>
          <w:rFonts w:ascii="Times New Roman" w:hAnsi="Times New Roman"/>
          <w:sz w:val="24"/>
          <w:szCs w:val="24"/>
          <w:lang w:val="lv-LV"/>
        </w:rPr>
        <w:t xml:space="preserve">šī dokumenta </w:t>
      </w:r>
      <w:r w:rsidRPr="004C576C">
        <w:rPr>
          <w:rFonts w:ascii="Times New Roman" w:hAnsi="Times New Roman"/>
          <w:sz w:val="24"/>
          <w:szCs w:val="24"/>
          <w:lang w:val="lv-LV"/>
        </w:rPr>
        <w:t>5. nodaļā;</w:t>
      </w:r>
    </w:p>
    <w:p w14:paraId="18A73E8C" w14:textId="68C56168" w:rsidR="00CF5E67" w:rsidRPr="004C576C" w:rsidRDefault="00CF5E67" w:rsidP="00CF5E67">
      <w:pPr>
        <w:pStyle w:val="NoSpacing"/>
        <w:numPr>
          <w:ilvl w:val="0"/>
          <w:numId w:val="1"/>
        </w:numPr>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ekonomiska Atbildības mehānisma administrēšanas organizēšana un tās kopīga uzraudzība no </w:t>
      </w:r>
      <w:r>
        <w:rPr>
          <w:rFonts w:ascii="Times New Roman" w:hAnsi="Times New Roman"/>
          <w:sz w:val="24"/>
          <w:szCs w:val="24"/>
          <w:lang w:val="lv-LV"/>
        </w:rPr>
        <w:t>“</w:t>
      </w:r>
      <w:r w:rsidRPr="004C576C">
        <w:rPr>
          <w:rFonts w:ascii="Times New Roman" w:hAnsi="Times New Roman"/>
          <w:sz w:val="24"/>
          <w:szCs w:val="24"/>
          <w:lang w:val="lv-LV"/>
        </w:rPr>
        <w:t>ESPON 20</w:t>
      </w:r>
      <w:r>
        <w:rPr>
          <w:rFonts w:ascii="Times New Roman" w:hAnsi="Times New Roman"/>
          <w:sz w:val="24"/>
          <w:szCs w:val="24"/>
          <w:lang w:val="lv-LV"/>
        </w:rPr>
        <w:t>3</w:t>
      </w:r>
      <w:r w:rsidRPr="004C576C">
        <w:rPr>
          <w:rFonts w:ascii="Times New Roman" w:hAnsi="Times New Roman"/>
          <w:sz w:val="24"/>
          <w:szCs w:val="24"/>
          <w:lang w:val="lv-LV"/>
        </w:rPr>
        <w:t>0</w:t>
      </w:r>
      <w:r>
        <w:rPr>
          <w:rFonts w:ascii="Times New Roman" w:hAnsi="Times New Roman"/>
          <w:sz w:val="24"/>
          <w:szCs w:val="24"/>
          <w:lang w:val="lv-LV"/>
        </w:rPr>
        <w:t>”</w:t>
      </w:r>
      <w:r w:rsidRPr="004C576C">
        <w:rPr>
          <w:rFonts w:ascii="Times New Roman" w:hAnsi="Times New Roman"/>
          <w:sz w:val="24"/>
          <w:szCs w:val="24"/>
          <w:lang w:val="lv-LV"/>
        </w:rPr>
        <w:t xml:space="preserve"> programmas dalībvalstīm un partnervalstīm, kā izklāstīts 6. nodaļā.</w:t>
      </w:r>
    </w:p>
    <w:p w14:paraId="631738AE" w14:textId="77777777" w:rsidR="00CF5E67" w:rsidRPr="004C576C" w:rsidRDefault="00CF5E67" w:rsidP="00CF5E67">
      <w:pPr>
        <w:pStyle w:val="Heading1"/>
        <w:rPr>
          <w:rFonts w:ascii="Times New Roman" w:hAnsi="Times New Roman"/>
          <w:szCs w:val="24"/>
          <w:lang w:val="lv-LV"/>
        </w:rPr>
      </w:pPr>
      <w:bookmarkStart w:id="21" w:name="_Toc429386300"/>
      <w:bookmarkStart w:id="22" w:name="_Toc83667683"/>
      <w:r w:rsidRPr="004C576C">
        <w:rPr>
          <w:rFonts w:ascii="Times New Roman" w:hAnsi="Times New Roman"/>
          <w:szCs w:val="24"/>
          <w:lang w:val="lv-LV"/>
        </w:rPr>
        <w:t>4. NODAĻA. SPECIFISKAIS ESPON ETSG LIKUMISKAIS UN DARBĪBAS NODROŠINĀJUMS</w:t>
      </w:r>
      <w:bookmarkEnd w:id="21"/>
      <w:bookmarkEnd w:id="22"/>
    </w:p>
    <w:p w14:paraId="0CE6516B" w14:textId="77777777" w:rsidR="00CF5E67" w:rsidRPr="004C576C" w:rsidRDefault="00CF5E67" w:rsidP="00CF5E67">
      <w:pPr>
        <w:pStyle w:val="Heading2"/>
        <w:rPr>
          <w:rFonts w:ascii="Times New Roman" w:hAnsi="Times New Roman"/>
          <w:sz w:val="24"/>
          <w:szCs w:val="24"/>
          <w:lang w:val="lv-LV"/>
        </w:rPr>
      </w:pPr>
      <w:bookmarkStart w:id="23" w:name="_Toc429386301"/>
      <w:bookmarkStart w:id="24" w:name="_Toc83667684"/>
      <w:r w:rsidRPr="004C576C">
        <w:rPr>
          <w:rFonts w:ascii="Times New Roman" w:hAnsi="Times New Roman"/>
          <w:sz w:val="24"/>
          <w:szCs w:val="24"/>
          <w:lang w:val="lv-LV"/>
        </w:rPr>
        <w:t>4.1 – DARBĪBAS NODROŠINĀJUMS RISKA PROFILAKSEI, LAI SAMAZINĀTU ATBILDĪBAS GADĪJUMUS</w:t>
      </w:r>
      <w:bookmarkEnd w:id="23"/>
      <w:bookmarkEnd w:id="24"/>
    </w:p>
    <w:p w14:paraId="7ACE200D" w14:textId="234274BC"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Attiecībā uz ESPON ETSG funkcionēšanu ir jānodrošina specifiski likumiskie un darbības noteikumi caurskatāmai funkcionēšanai un iespējami labākā kontrole un monitorings. Tiem jānovērš neattiecināmo izdevumu parādīšanās Vienīgās darbības īstenošanas gaitā </w:t>
      </w:r>
      <w:r w:rsidR="00E9545A">
        <w:rPr>
          <w:rFonts w:ascii="Times New Roman" w:hAnsi="Times New Roman"/>
          <w:sz w:val="24"/>
          <w:szCs w:val="24"/>
          <w:lang w:val="lv-LV"/>
        </w:rPr>
        <w:t>Dotāciju</w:t>
      </w:r>
      <w:r w:rsidRPr="004C576C">
        <w:rPr>
          <w:rFonts w:ascii="Times New Roman" w:hAnsi="Times New Roman"/>
          <w:sz w:val="24"/>
          <w:szCs w:val="24"/>
          <w:lang w:val="lv-LV"/>
        </w:rPr>
        <w:t xml:space="preserve"> </w:t>
      </w:r>
      <w:r w:rsidR="00E9545A">
        <w:rPr>
          <w:rFonts w:ascii="Times New Roman" w:hAnsi="Times New Roman"/>
          <w:sz w:val="24"/>
          <w:szCs w:val="24"/>
          <w:lang w:val="lv-LV"/>
        </w:rPr>
        <w:t>no</w:t>
      </w:r>
      <w:r w:rsidRPr="004C576C">
        <w:rPr>
          <w:rFonts w:ascii="Times New Roman" w:hAnsi="Times New Roman"/>
          <w:sz w:val="24"/>
          <w:szCs w:val="24"/>
          <w:lang w:val="lv-LV"/>
        </w:rPr>
        <w:t>līguma ietvaros un, to darot, jānovērš Atbildības gadījumi. ESPON ETSG iekšējā organizācijā un ikdienas darbībā jāievēro šādi principi:</w:t>
      </w:r>
    </w:p>
    <w:p w14:paraId="50B09D0A" w14:textId="77777777" w:rsidR="00CF5E67" w:rsidRPr="004C576C" w:rsidRDefault="00CF5E67" w:rsidP="00CF5E67">
      <w:pPr>
        <w:pStyle w:val="NoSpacing"/>
        <w:numPr>
          <w:ilvl w:val="0"/>
          <w:numId w:val="2"/>
        </w:numPr>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caurskatāma un saprotama īstenošana un rūpīga finanšu pārvaldība;</w:t>
      </w:r>
    </w:p>
    <w:p w14:paraId="22856E76" w14:textId="77777777" w:rsidR="00CF5E67" w:rsidRPr="004C576C" w:rsidRDefault="00CF5E67" w:rsidP="00CF5E67">
      <w:pPr>
        <w:pStyle w:val="NoSpacing"/>
        <w:numPr>
          <w:ilvl w:val="0"/>
          <w:numId w:val="2"/>
        </w:numPr>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pietiekamas prognozējamas pārbaudes, pirms uzņemties un izmaksāt jebkādus izdevumus;</w:t>
      </w:r>
    </w:p>
    <w:p w14:paraId="73EB78EF" w14:textId="77777777" w:rsidR="00CF5E67" w:rsidRPr="004C576C" w:rsidRDefault="00CF5E67" w:rsidP="00CF5E67">
      <w:pPr>
        <w:pStyle w:val="NoSpacing"/>
        <w:numPr>
          <w:ilvl w:val="0"/>
          <w:numId w:val="2"/>
        </w:numPr>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piemērotas izskatīšanas procedūras gadījumos, ja ir nesaskaņas par izdevumu attiecināšanu.</w:t>
      </w:r>
    </w:p>
    <w:p w14:paraId="2B8B6163" w14:textId="53A2E1DD"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Turpmākie noteikumi ir piemērojami Vienīgās darbības īstenošanai no ESPON ETSG puses, un tie tiks arī minēti kā nosacījumi </w:t>
      </w:r>
      <w:r w:rsidR="00E9545A">
        <w:rPr>
          <w:rFonts w:ascii="Times New Roman" w:hAnsi="Times New Roman"/>
          <w:sz w:val="24"/>
          <w:szCs w:val="24"/>
          <w:lang w:val="lv-LV"/>
        </w:rPr>
        <w:t>Dotāciju</w:t>
      </w:r>
      <w:r w:rsidRPr="004C576C">
        <w:rPr>
          <w:rFonts w:ascii="Times New Roman" w:hAnsi="Times New Roman"/>
          <w:sz w:val="24"/>
          <w:szCs w:val="24"/>
          <w:lang w:val="lv-LV"/>
        </w:rPr>
        <w:t xml:space="preserve"> </w:t>
      </w:r>
      <w:r w:rsidR="00E9545A">
        <w:rPr>
          <w:rFonts w:ascii="Times New Roman" w:hAnsi="Times New Roman"/>
          <w:sz w:val="24"/>
          <w:szCs w:val="24"/>
          <w:lang w:val="lv-LV"/>
        </w:rPr>
        <w:t>no</w:t>
      </w:r>
      <w:r w:rsidRPr="004C576C">
        <w:rPr>
          <w:rFonts w:ascii="Times New Roman" w:hAnsi="Times New Roman"/>
          <w:sz w:val="24"/>
          <w:szCs w:val="24"/>
          <w:lang w:val="lv-LV"/>
        </w:rPr>
        <w:t>līgumā, lai nodrošinātu iepriekš minēto principu ievērošanu:</w:t>
      </w:r>
    </w:p>
    <w:p w14:paraId="1D23D07C" w14:textId="77777777" w:rsidR="00CF5E67" w:rsidRPr="004C576C" w:rsidRDefault="00CF5E67" w:rsidP="00CF5E67">
      <w:pPr>
        <w:pStyle w:val="NoSpacing"/>
        <w:numPr>
          <w:ilvl w:val="0"/>
          <w:numId w:val="3"/>
        </w:numPr>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ESPON ETSG ietvaros attiecīgo funkciju veikšanai tiek deleģēts tikai tāds personāls, kas ir pieredzējis un apmācīts risku mazināšanas un mīkstināšanas jautājumos (piemēram, budžeta un iepirkumu jautājumos specializējies jurists);</w:t>
      </w:r>
    </w:p>
    <w:p w14:paraId="0201DD66" w14:textId="77777777" w:rsidR="00CF5E67" w:rsidRPr="004C576C" w:rsidRDefault="00CF5E67" w:rsidP="00CF5E67">
      <w:pPr>
        <w:pStyle w:val="NoSpacing"/>
        <w:numPr>
          <w:ilvl w:val="0"/>
          <w:numId w:val="3"/>
        </w:numPr>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ESPON ETSG ir jābūt skaidri definētam procedūrām uzņemto saistību likumības prognozējamai novērtēšanai un lielāku summu un/vai īpašu iepirkumu, t. i. publisku iepirkumu </w:t>
      </w:r>
      <w:r w:rsidRPr="004C576C">
        <w:rPr>
          <w:rFonts w:ascii="Times New Roman" w:hAnsi="Times New Roman"/>
          <w:sz w:val="24"/>
          <w:szCs w:val="24"/>
          <w:lang w:val="lv-LV"/>
        </w:rPr>
        <w:lastRenderedPageBreak/>
        <w:t>uzsākšanas, līgumu parakstīšanas gadījumos tajās jāiesaista ESPON ETSG Asamblejas priekšsēdētājs;</w:t>
      </w:r>
    </w:p>
    <w:p w14:paraId="1C9735F3" w14:textId="77777777" w:rsidR="00CF5E67" w:rsidRPr="004C576C" w:rsidRDefault="00CF5E67" w:rsidP="00CF5E67">
      <w:pPr>
        <w:pStyle w:val="NoSpacing"/>
        <w:numPr>
          <w:ilvl w:val="0"/>
          <w:numId w:val="3"/>
        </w:numPr>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visos procesos sakarā ar saistībām un izdevumu apmaksu ir jāpielieto “četru acu princips”. Praksē tas nozīmē, ka viena ESPON ETSG atbildīga persona prasa izdevumu uzņemšanos, savukārt cita persona kontrolē šo pieprasījumu par izdevumu uzņemšanos. Gadījumā, ja pastāv nesaskaņas starp personām, kuras ir atbildīgas par izdevumu uzņemšanos un kontrolēšanu, vispirms tiek iesaistīts </w:t>
      </w:r>
      <w:r>
        <w:rPr>
          <w:rFonts w:ascii="Times New Roman" w:hAnsi="Times New Roman"/>
          <w:sz w:val="24"/>
          <w:szCs w:val="24"/>
          <w:lang w:val="lv-LV"/>
        </w:rPr>
        <w:t xml:space="preserve">ESPON </w:t>
      </w:r>
      <w:r w:rsidRPr="004C576C">
        <w:rPr>
          <w:rFonts w:ascii="Times New Roman" w:hAnsi="Times New Roman"/>
          <w:sz w:val="24"/>
          <w:szCs w:val="24"/>
          <w:lang w:val="lv-LV"/>
        </w:rPr>
        <w:t>ETSG direktors. Gadījumā, ja direktors konstatē amatpersonu nespēju vienoties, nesaskaņu atrisināšanai tiek īstenota ziņošana ESPON ETSG Asamblejas priekšsēdētājam;</w:t>
      </w:r>
    </w:p>
    <w:p w14:paraId="6FFD5EFA" w14:textId="77777777" w:rsidR="00CF5E67" w:rsidRPr="004C576C" w:rsidRDefault="00CF5E67" w:rsidP="00CF5E67">
      <w:pPr>
        <w:pStyle w:val="NoSpacing"/>
        <w:numPr>
          <w:ilvl w:val="0"/>
          <w:numId w:val="3"/>
        </w:numPr>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rūpīgai iekšējai finanšu pārvaldībai izveidotās procedūras ir jādokumentē un jāveic regulāras pārbaudes, lai novērtētu šo procedūru pielietošanu;</w:t>
      </w:r>
    </w:p>
    <w:p w14:paraId="66319A66" w14:textId="77777777" w:rsidR="00CF5E67" w:rsidRPr="004C576C" w:rsidRDefault="00CF5E67" w:rsidP="00CF5E67">
      <w:pPr>
        <w:pStyle w:val="NoSpacing"/>
        <w:numPr>
          <w:ilvl w:val="0"/>
          <w:numId w:val="3"/>
        </w:numPr>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gadījumā, ja rodas periodiski neattiecināmie izdevumi, jāveic padziļināta iekšējā izvērtēšana, lai novērtētu iekšējo procedūru ievērošanu un, ja nepieciešams, pielāgotu šīs procedūras.</w:t>
      </w:r>
    </w:p>
    <w:p w14:paraId="17FD2561" w14:textId="096E5846" w:rsidR="00CF5E67" w:rsidRPr="004460E2" w:rsidRDefault="00CF5E67" w:rsidP="00CF5E67">
      <w:pPr>
        <w:pStyle w:val="Heading2"/>
        <w:rPr>
          <w:rFonts w:ascii="Times New Roman" w:hAnsi="Times New Roman"/>
          <w:sz w:val="24"/>
          <w:szCs w:val="24"/>
          <w:lang w:val="lv-LV"/>
        </w:rPr>
      </w:pPr>
      <w:bookmarkStart w:id="25" w:name="_Toc429386302"/>
      <w:bookmarkStart w:id="26" w:name="_Toc83667685"/>
      <w:r w:rsidRPr="004C576C">
        <w:rPr>
          <w:rFonts w:ascii="Times New Roman" w:hAnsi="Times New Roman"/>
          <w:sz w:val="24"/>
          <w:szCs w:val="24"/>
          <w:lang w:val="lv-LV"/>
        </w:rPr>
        <w:t xml:space="preserve">4.2 – NOTEIKUMI PAR </w:t>
      </w:r>
      <w:r>
        <w:rPr>
          <w:rFonts w:ascii="Times New Roman" w:hAnsi="Times New Roman"/>
          <w:sz w:val="24"/>
          <w:szCs w:val="24"/>
          <w:lang w:val="lv-LV"/>
        </w:rPr>
        <w:t xml:space="preserve">ESPON </w:t>
      </w:r>
      <w:r w:rsidRPr="004C576C">
        <w:rPr>
          <w:rFonts w:ascii="Times New Roman" w:hAnsi="Times New Roman"/>
          <w:sz w:val="24"/>
          <w:szCs w:val="24"/>
          <w:lang w:val="lv-LV"/>
        </w:rPr>
        <w:t xml:space="preserve">ETSG </w:t>
      </w:r>
      <w:r w:rsidRPr="004460E2">
        <w:rPr>
          <w:rFonts w:ascii="Times New Roman" w:hAnsi="Times New Roman"/>
          <w:sz w:val="24"/>
          <w:szCs w:val="24"/>
          <w:lang w:val="lv-LV"/>
        </w:rPr>
        <w:t>KONSULTATĪVO KOMITEJU</w:t>
      </w:r>
      <w:bookmarkEnd w:id="25"/>
      <w:bookmarkEnd w:id="26"/>
    </w:p>
    <w:p w14:paraId="658FCA69" w14:textId="7B209DCA" w:rsidR="00CF5E67" w:rsidRPr="004C576C" w:rsidRDefault="00CF5E67" w:rsidP="00CF5E67">
      <w:pPr>
        <w:pStyle w:val="NoSpacing"/>
        <w:spacing w:after="120" w:line="276" w:lineRule="auto"/>
        <w:jc w:val="both"/>
        <w:rPr>
          <w:rFonts w:ascii="Times New Roman" w:hAnsi="Times New Roman"/>
          <w:sz w:val="24"/>
          <w:szCs w:val="24"/>
          <w:lang w:val="lv-LV"/>
        </w:rPr>
      </w:pPr>
      <w:r w:rsidRPr="004460E2">
        <w:rPr>
          <w:rFonts w:ascii="Times New Roman" w:hAnsi="Times New Roman"/>
          <w:sz w:val="24"/>
          <w:szCs w:val="24"/>
          <w:lang w:val="lv-LV"/>
        </w:rPr>
        <w:t>Konvencijas 15. pants un ESPON ETSG Statūti paredz Konsultatīvās komitejas izveidošanu</w:t>
      </w:r>
      <w:r w:rsidRPr="004C576C">
        <w:rPr>
          <w:rFonts w:ascii="Times New Roman" w:hAnsi="Times New Roman"/>
          <w:sz w:val="24"/>
          <w:szCs w:val="24"/>
          <w:lang w:val="lv-LV"/>
        </w:rPr>
        <w:t xml:space="preserve"> pēc to </w:t>
      </w:r>
      <w:r>
        <w:rPr>
          <w:rFonts w:ascii="Times New Roman" w:hAnsi="Times New Roman"/>
          <w:sz w:val="24"/>
          <w:szCs w:val="24"/>
          <w:lang w:val="lv-LV"/>
        </w:rPr>
        <w:t>dalīb</w:t>
      </w:r>
      <w:r w:rsidRPr="004C576C">
        <w:rPr>
          <w:rFonts w:ascii="Times New Roman" w:hAnsi="Times New Roman"/>
          <w:sz w:val="24"/>
          <w:szCs w:val="24"/>
          <w:lang w:val="lv-LV"/>
        </w:rPr>
        <w:t xml:space="preserve">valstu pieprasījuma, kas veic iemaksas Atbildības mehānismam. Gadījumā, ja rodas noteikts Atbildības gadījumu biežums vai daudzums (skatīt arī tālāk 6.4. punktu), </w:t>
      </w:r>
      <w:r>
        <w:rPr>
          <w:rFonts w:ascii="Times New Roman" w:hAnsi="Times New Roman"/>
          <w:sz w:val="24"/>
          <w:szCs w:val="24"/>
          <w:lang w:val="lv-LV"/>
        </w:rPr>
        <w:t>dalīb</w:t>
      </w:r>
      <w:r w:rsidRPr="004C576C">
        <w:rPr>
          <w:rFonts w:ascii="Times New Roman" w:hAnsi="Times New Roman"/>
          <w:sz w:val="24"/>
          <w:szCs w:val="24"/>
          <w:lang w:val="lv-LV"/>
        </w:rPr>
        <w:t xml:space="preserve">valstis, kas veic iemaksas Atbildības mehānismam, var aicināt izveidot Konsultatīvo komiteju, lai radītu caurskatāmību un sniegtu ieteikumus par ESPON ETSG administratīvo un finansiālo pārvaldību par izdevumu uzņemšanos un apmaksu, līgumu noslēgšanu un atbilstošo atbildību saistība ar </w:t>
      </w:r>
      <w:r w:rsidR="00E9545A">
        <w:rPr>
          <w:rFonts w:ascii="Times New Roman" w:hAnsi="Times New Roman"/>
          <w:sz w:val="24"/>
          <w:szCs w:val="24"/>
          <w:lang w:val="lv-LV"/>
        </w:rPr>
        <w:t>Dotāciju</w:t>
      </w:r>
      <w:r w:rsidRPr="004C576C">
        <w:rPr>
          <w:rFonts w:ascii="Times New Roman" w:hAnsi="Times New Roman"/>
          <w:sz w:val="24"/>
          <w:szCs w:val="24"/>
          <w:lang w:val="lv-LV"/>
        </w:rPr>
        <w:t xml:space="preserve"> </w:t>
      </w:r>
      <w:r w:rsidR="00E9545A">
        <w:rPr>
          <w:rFonts w:ascii="Times New Roman" w:hAnsi="Times New Roman"/>
          <w:sz w:val="24"/>
          <w:szCs w:val="24"/>
          <w:lang w:val="lv-LV"/>
        </w:rPr>
        <w:t>no</w:t>
      </w:r>
      <w:r w:rsidRPr="004C576C">
        <w:rPr>
          <w:rFonts w:ascii="Times New Roman" w:hAnsi="Times New Roman"/>
          <w:sz w:val="24"/>
          <w:szCs w:val="24"/>
          <w:lang w:val="lv-LV"/>
        </w:rPr>
        <w:t>līguma īstenošanu.</w:t>
      </w:r>
    </w:p>
    <w:p w14:paraId="5855059F" w14:textId="77777777" w:rsidR="00CF5E67" w:rsidRPr="004C576C" w:rsidRDefault="00CF5E67" w:rsidP="00CF5E67">
      <w:pPr>
        <w:pStyle w:val="NoSpacing"/>
        <w:spacing w:line="276" w:lineRule="auto"/>
        <w:jc w:val="both"/>
        <w:rPr>
          <w:rFonts w:ascii="Times New Roman" w:hAnsi="Times New Roman"/>
          <w:sz w:val="24"/>
          <w:szCs w:val="24"/>
          <w:lang w:val="lv-LV"/>
        </w:rPr>
      </w:pPr>
      <w:r w:rsidRPr="004C576C">
        <w:rPr>
          <w:rFonts w:ascii="Times New Roman" w:hAnsi="Times New Roman"/>
          <w:sz w:val="24"/>
          <w:szCs w:val="24"/>
          <w:lang w:val="lv-LV"/>
        </w:rPr>
        <w:t>Ja tā tiek izveidota, Konsultatīvās komitejas misija ir atbalstīt Atbildības gadījumu samazināšanos zem iepriekš noteiktā daudzuma, kas noteikts 6.4. punktā. Pamatojoties uz iepriekšēju situācijas novērtējumu, Konsultatīvajai komitejai ir jāizstrādā stratēģija un laika grafiks savas misijas īstenošanai. Direktoram un Asamblejas priekšsēdētājam ir jāinformē Konsultatīvā komiteja par visām attiecīgajām ESPON ETSG aktivitātēm. Konsultatīvajai komitejai ir jāformulē ieteikumi Asamblejai par visiem jautājumiem, kas saistīti ar ESPON ETSG, ja tā saskata nepieciešamību un lietderību saistībā ar to ESPON ETSG administratīvo un finansiālo uzticamību. Konsultatīvās komitejas misija beidzas laikā, kad atkal ir sasniegti iepriekš noteiktie mērķi.</w:t>
      </w:r>
    </w:p>
    <w:p w14:paraId="50C578AE" w14:textId="77777777" w:rsidR="00CF5E67" w:rsidRPr="004C576C" w:rsidRDefault="00CF5E67" w:rsidP="00CF5E67">
      <w:pPr>
        <w:pStyle w:val="Heading1"/>
        <w:rPr>
          <w:rFonts w:ascii="Times New Roman" w:hAnsi="Times New Roman"/>
          <w:szCs w:val="24"/>
          <w:lang w:val="lv-LV"/>
        </w:rPr>
      </w:pPr>
      <w:bookmarkStart w:id="27" w:name="_Toc429386303"/>
      <w:bookmarkStart w:id="28" w:name="_Toc83667686"/>
      <w:r w:rsidRPr="004C576C">
        <w:rPr>
          <w:rFonts w:ascii="Times New Roman" w:hAnsi="Times New Roman"/>
          <w:szCs w:val="24"/>
          <w:lang w:val="lv-LV"/>
        </w:rPr>
        <w:t>5. NODAĻA. KOPĒJAIS BUDŽETS UN DALĪBVALSTU UN PARTNERVALSTU IEMAKSAS</w:t>
      </w:r>
      <w:bookmarkEnd w:id="27"/>
      <w:bookmarkEnd w:id="28"/>
    </w:p>
    <w:p w14:paraId="42B395D6" w14:textId="77777777" w:rsidR="00CF5E67" w:rsidRPr="004C576C" w:rsidRDefault="00CF5E67" w:rsidP="00CF5E67">
      <w:pPr>
        <w:pStyle w:val="Heading2"/>
        <w:rPr>
          <w:rFonts w:ascii="Times New Roman" w:hAnsi="Times New Roman"/>
          <w:sz w:val="24"/>
          <w:szCs w:val="24"/>
          <w:lang w:val="lv-LV"/>
        </w:rPr>
      </w:pPr>
      <w:bookmarkStart w:id="29" w:name="_Toc429386304"/>
      <w:bookmarkStart w:id="30" w:name="_Toc83667687"/>
      <w:r w:rsidRPr="004C576C">
        <w:rPr>
          <w:rFonts w:ascii="Times New Roman" w:hAnsi="Times New Roman"/>
          <w:sz w:val="24"/>
          <w:szCs w:val="24"/>
          <w:lang w:val="lv-LV"/>
        </w:rPr>
        <w:t>5.1 – ATBILDĪBAS MEHĀNISMA KOPĪGAIS UN IEROBEŽOTAIS FINANSĒJUMS</w:t>
      </w:r>
      <w:bookmarkEnd w:id="29"/>
      <w:bookmarkEnd w:id="30"/>
    </w:p>
    <w:p w14:paraId="7E87F86C" w14:textId="44255A1D"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Lai apveltītu Atbildības mehānismu ar nepieciešamo finansiālo kapacitāti, kas ļautu tam segt mazākas neattiecināmo izdevumu summas, </w:t>
      </w:r>
      <w:r>
        <w:rPr>
          <w:rFonts w:ascii="Times New Roman" w:hAnsi="Times New Roman"/>
          <w:sz w:val="24"/>
          <w:szCs w:val="24"/>
          <w:lang w:val="lv-LV"/>
        </w:rPr>
        <w:t>dalīb</w:t>
      </w:r>
      <w:r w:rsidRPr="004C576C">
        <w:rPr>
          <w:rFonts w:ascii="Times New Roman" w:hAnsi="Times New Roman"/>
          <w:sz w:val="24"/>
          <w:szCs w:val="24"/>
          <w:lang w:val="lv-LV"/>
        </w:rPr>
        <w:t>valstis apņemas kopīgi mobilizēt finanšu līdzekļus maksimāli 2 % apmērā no finansējuma</w:t>
      </w:r>
      <w:r>
        <w:rPr>
          <w:rFonts w:ascii="Times New Roman" w:hAnsi="Times New Roman"/>
          <w:sz w:val="24"/>
          <w:szCs w:val="24"/>
          <w:lang w:val="lv-LV"/>
        </w:rPr>
        <w:t xml:space="preserve">, </w:t>
      </w:r>
      <w:r w:rsidRPr="004C576C">
        <w:rPr>
          <w:rFonts w:ascii="Times New Roman" w:hAnsi="Times New Roman"/>
          <w:sz w:val="24"/>
          <w:szCs w:val="24"/>
          <w:lang w:val="lv-LV"/>
        </w:rPr>
        <w:t xml:space="preserve">kas ar </w:t>
      </w:r>
      <w:r w:rsidR="00E9545A">
        <w:rPr>
          <w:rFonts w:ascii="Times New Roman" w:hAnsi="Times New Roman"/>
          <w:sz w:val="24"/>
          <w:szCs w:val="24"/>
          <w:lang w:val="lv-LV"/>
        </w:rPr>
        <w:t>Dotāciju</w:t>
      </w:r>
      <w:r w:rsidRPr="004C576C">
        <w:rPr>
          <w:rFonts w:ascii="Times New Roman" w:hAnsi="Times New Roman"/>
          <w:sz w:val="24"/>
          <w:szCs w:val="24"/>
          <w:lang w:val="lv-LV"/>
        </w:rPr>
        <w:t xml:space="preserve"> </w:t>
      </w:r>
      <w:r w:rsidR="00E9545A">
        <w:rPr>
          <w:rFonts w:ascii="Times New Roman" w:hAnsi="Times New Roman"/>
          <w:sz w:val="24"/>
          <w:szCs w:val="24"/>
          <w:lang w:val="lv-LV"/>
        </w:rPr>
        <w:t>no</w:t>
      </w:r>
      <w:r w:rsidRPr="004C576C">
        <w:rPr>
          <w:rFonts w:ascii="Times New Roman" w:hAnsi="Times New Roman"/>
          <w:sz w:val="24"/>
          <w:szCs w:val="24"/>
          <w:lang w:val="lv-LV"/>
        </w:rPr>
        <w:t xml:space="preserve">līgumu piešķirts ESPON </w:t>
      </w:r>
      <w:r w:rsidRPr="004C576C">
        <w:rPr>
          <w:rFonts w:ascii="Times New Roman" w:hAnsi="Times New Roman"/>
          <w:sz w:val="24"/>
          <w:szCs w:val="24"/>
          <w:lang w:val="lv-LV"/>
        </w:rPr>
        <w:lastRenderedPageBreak/>
        <w:t xml:space="preserve">ETSG. 2 % slieksnis tiek uzkrāts visā kopējā </w:t>
      </w:r>
      <w:r w:rsidR="00E9545A">
        <w:rPr>
          <w:rFonts w:ascii="Times New Roman" w:hAnsi="Times New Roman"/>
          <w:sz w:val="24"/>
          <w:szCs w:val="24"/>
          <w:lang w:val="lv-LV"/>
        </w:rPr>
        <w:t>Dotāciju</w:t>
      </w:r>
      <w:r w:rsidRPr="004C576C">
        <w:rPr>
          <w:rFonts w:ascii="Times New Roman" w:hAnsi="Times New Roman"/>
          <w:sz w:val="24"/>
          <w:szCs w:val="24"/>
          <w:lang w:val="lv-LV"/>
        </w:rPr>
        <w:t xml:space="preserve"> </w:t>
      </w:r>
      <w:r w:rsidR="00E9545A">
        <w:rPr>
          <w:rFonts w:ascii="Times New Roman" w:hAnsi="Times New Roman"/>
          <w:sz w:val="24"/>
          <w:szCs w:val="24"/>
          <w:lang w:val="lv-LV"/>
        </w:rPr>
        <w:t>no</w:t>
      </w:r>
      <w:r w:rsidRPr="004C576C">
        <w:rPr>
          <w:rFonts w:ascii="Times New Roman" w:hAnsi="Times New Roman"/>
          <w:sz w:val="24"/>
          <w:szCs w:val="24"/>
          <w:lang w:val="lv-LV"/>
        </w:rPr>
        <w:t>līguma īstenošanas periodā un ir augstākais slieksnis jebkuras dalībvalsts, kas piedalās Atbildības mehānisma finansēšanā, iesaistei.</w:t>
      </w:r>
    </w:p>
    <w:p w14:paraId="41524497" w14:textId="77777777"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Gadījumam, ja Atbildības gadījums pārsniegtu 2 % slieksni, Luksemburgas Lielhercogiste apņemas segt jebkādu summu virs noteiktā sliekšņa, kas uzkrājusies īstenošanas perioda beigās.</w:t>
      </w:r>
    </w:p>
    <w:p w14:paraId="0C1E2A5A" w14:textId="77777777" w:rsidR="00CF5E67" w:rsidRPr="004C576C" w:rsidRDefault="00CF5E67" w:rsidP="00CF5E67">
      <w:pPr>
        <w:pStyle w:val="Heading2"/>
        <w:rPr>
          <w:rFonts w:ascii="Times New Roman" w:hAnsi="Times New Roman"/>
          <w:sz w:val="24"/>
          <w:szCs w:val="24"/>
          <w:lang w:val="lv-LV"/>
        </w:rPr>
      </w:pPr>
      <w:bookmarkStart w:id="31" w:name="_Toc429386305"/>
      <w:bookmarkStart w:id="32" w:name="_Toc83667688"/>
      <w:r w:rsidRPr="004C576C">
        <w:rPr>
          <w:rFonts w:ascii="Times New Roman" w:hAnsi="Times New Roman"/>
          <w:sz w:val="24"/>
          <w:szCs w:val="24"/>
          <w:lang w:val="lv-LV"/>
        </w:rPr>
        <w:t>5.2 – PAMATOJUMS 2 % SLIEKSNIM – BUDŽETA NOTEIKŠANA</w:t>
      </w:r>
      <w:bookmarkEnd w:id="31"/>
      <w:bookmarkEnd w:id="32"/>
    </w:p>
    <w:p w14:paraId="7C4B7BD5" w14:textId="77777777"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Atbildības mehānisma budžeta dotācijai noteiktais 2 % slieksnis ir noteikts, pamatojoties uz Revidentu tiesas un Eiropas Komisijas novērtējumu par ierobežotu kļūdu. Revīziju kontekstā par nopietnām kļūdām tiek klasificētas tikai tādas, kas pārsniedz 2 %.</w:t>
      </w:r>
      <w:r w:rsidRPr="004C576C">
        <w:rPr>
          <w:rStyle w:val="FootnoteReference"/>
          <w:rFonts w:ascii="Times New Roman" w:hAnsi="Times New Roman"/>
          <w:sz w:val="24"/>
          <w:szCs w:val="24"/>
          <w:lang w:val="lv-LV"/>
        </w:rPr>
        <w:footnoteReference w:id="1"/>
      </w:r>
      <w:r w:rsidRPr="004C576C">
        <w:rPr>
          <w:rFonts w:ascii="Times New Roman" w:hAnsi="Times New Roman"/>
          <w:sz w:val="24"/>
          <w:szCs w:val="24"/>
          <w:lang w:val="lv-LV"/>
        </w:rPr>
        <w:t xml:space="preserve"> </w:t>
      </w:r>
    </w:p>
    <w:p w14:paraId="76DAA2F8" w14:textId="3D5A7EFC" w:rsidR="00CF5E67" w:rsidRPr="004C576C" w:rsidRDefault="00CF5E67" w:rsidP="00CF5E67">
      <w:pPr>
        <w:pStyle w:val="NoSpacing"/>
        <w:spacing w:after="120" w:line="276" w:lineRule="auto"/>
        <w:jc w:val="both"/>
        <w:rPr>
          <w:rFonts w:ascii="Times New Roman" w:hAnsi="Times New Roman"/>
          <w:sz w:val="24"/>
          <w:szCs w:val="24"/>
          <w:lang w:val="lv-LV"/>
        </w:rPr>
      </w:pPr>
      <w:r>
        <w:rPr>
          <w:rFonts w:ascii="Times New Roman" w:hAnsi="Times New Roman"/>
          <w:sz w:val="24"/>
          <w:szCs w:val="24"/>
          <w:lang w:val="lv-LV"/>
        </w:rPr>
        <w:t>Kopējais</w:t>
      </w:r>
      <w:r w:rsidRPr="004C576C">
        <w:rPr>
          <w:rFonts w:ascii="Times New Roman" w:hAnsi="Times New Roman"/>
          <w:sz w:val="24"/>
          <w:szCs w:val="24"/>
          <w:lang w:val="lv-LV"/>
        </w:rPr>
        <w:t xml:space="preserve"> </w:t>
      </w:r>
      <w:r>
        <w:rPr>
          <w:rFonts w:ascii="Times New Roman" w:hAnsi="Times New Roman"/>
          <w:sz w:val="24"/>
          <w:szCs w:val="24"/>
          <w:lang w:val="lv-LV"/>
        </w:rPr>
        <w:t>“</w:t>
      </w:r>
      <w:r w:rsidRPr="004C576C">
        <w:rPr>
          <w:rFonts w:ascii="Times New Roman" w:hAnsi="Times New Roman"/>
          <w:sz w:val="24"/>
          <w:szCs w:val="24"/>
          <w:lang w:val="lv-LV"/>
        </w:rPr>
        <w:t>ESPON 20</w:t>
      </w:r>
      <w:r>
        <w:rPr>
          <w:rFonts w:ascii="Times New Roman" w:hAnsi="Times New Roman"/>
          <w:sz w:val="24"/>
          <w:szCs w:val="24"/>
          <w:lang w:val="lv-LV"/>
        </w:rPr>
        <w:t>3</w:t>
      </w:r>
      <w:r w:rsidRPr="004C576C">
        <w:rPr>
          <w:rFonts w:ascii="Times New Roman" w:hAnsi="Times New Roman"/>
          <w:sz w:val="24"/>
          <w:szCs w:val="24"/>
          <w:lang w:val="lv-LV"/>
        </w:rPr>
        <w:t>0</w:t>
      </w:r>
      <w:r>
        <w:rPr>
          <w:rFonts w:ascii="Times New Roman" w:hAnsi="Times New Roman"/>
          <w:sz w:val="24"/>
          <w:szCs w:val="24"/>
          <w:lang w:val="lv-LV"/>
        </w:rPr>
        <w:t>”</w:t>
      </w:r>
      <w:r w:rsidRPr="004C576C">
        <w:rPr>
          <w:rFonts w:ascii="Times New Roman" w:hAnsi="Times New Roman"/>
          <w:sz w:val="24"/>
          <w:szCs w:val="24"/>
          <w:lang w:val="lv-LV"/>
        </w:rPr>
        <w:t xml:space="preserve"> Sadarbības programm</w:t>
      </w:r>
      <w:r>
        <w:rPr>
          <w:rFonts w:ascii="Times New Roman" w:hAnsi="Times New Roman"/>
          <w:sz w:val="24"/>
          <w:szCs w:val="24"/>
          <w:lang w:val="lv-LV"/>
        </w:rPr>
        <w:t>as budžets</w:t>
      </w:r>
      <w:r w:rsidRPr="004C576C">
        <w:rPr>
          <w:rFonts w:ascii="Times New Roman" w:hAnsi="Times New Roman"/>
          <w:sz w:val="24"/>
          <w:szCs w:val="24"/>
          <w:lang w:val="lv-LV"/>
        </w:rPr>
        <w:t xml:space="preserve"> ir </w:t>
      </w:r>
      <w:r>
        <w:rPr>
          <w:rFonts w:ascii="Times New Roman" w:hAnsi="Times New Roman"/>
          <w:sz w:val="24"/>
          <w:szCs w:val="24"/>
          <w:lang w:val="lv-LV"/>
        </w:rPr>
        <w:t>60</w:t>
      </w:r>
      <w:r w:rsidRPr="004C576C">
        <w:rPr>
          <w:rFonts w:ascii="Times New Roman" w:hAnsi="Times New Roman"/>
          <w:sz w:val="24"/>
          <w:szCs w:val="24"/>
          <w:lang w:val="lv-LV"/>
        </w:rPr>
        <w:t xml:space="preserve"> miljoni </w:t>
      </w:r>
      <w:proofErr w:type="spellStart"/>
      <w:r w:rsidRPr="004C576C">
        <w:rPr>
          <w:rFonts w:ascii="Times New Roman" w:hAnsi="Times New Roman"/>
          <w:sz w:val="24"/>
          <w:szCs w:val="24"/>
          <w:lang w:val="lv-LV"/>
        </w:rPr>
        <w:t>e</w:t>
      </w:r>
      <w:r w:rsidR="00382333">
        <w:rPr>
          <w:rFonts w:ascii="Times New Roman" w:hAnsi="Times New Roman"/>
          <w:sz w:val="24"/>
          <w:szCs w:val="24"/>
          <w:lang w:val="lv-LV"/>
        </w:rPr>
        <w:t>u</w:t>
      </w:r>
      <w:r w:rsidRPr="004C576C">
        <w:rPr>
          <w:rFonts w:ascii="Times New Roman" w:hAnsi="Times New Roman"/>
          <w:sz w:val="24"/>
          <w:szCs w:val="24"/>
          <w:lang w:val="lv-LV"/>
        </w:rPr>
        <w:t>ro</w:t>
      </w:r>
      <w:proofErr w:type="spellEnd"/>
      <w:r w:rsidRPr="004C576C">
        <w:rPr>
          <w:rFonts w:ascii="Times New Roman" w:hAnsi="Times New Roman"/>
          <w:sz w:val="24"/>
          <w:szCs w:val="24"/>
          <w:lang w:val="lv-LV"/>
        </w:rPr>
        <w:t xml:space="preserve">, piešķirtais finansējums, lai finansētu Vienīgo darbību, kas jāīsteno ESPON ETSG, ir maksimāli </w:t>
      </w:r>
      <w:r w:rsidRPr="00DD7649">
        <w:rPr>
          <w:rFonts w:ascii="Times New Roman" w:hAnsi="Times New Roman"/>
          <w:sz w:val="24"/>
          <w:szCs w:val="24"/>
          <w:highlight w:val="lightGray"/>
          <w:lang w:val="lv-LV"/>
        </w:rPr>
        <w:t>57</w:t>
      </w:r>
      <w:r w:rsidR="00382333">
        <w:rPr>
          <w:rFonts w:ascii="Times New Roman" w:hAnsi="Times New Roman"/>
          <w:sz w:val="24"/>
          <w:szCs w:val="24"/>
          <w:highlight w:val="lightGray"/>
          <w:lang w:val="lv-LV"/>
        </w:rPr>
        <w:t>,</w:t>
      </w:r>
      <w:r w:rsidRPr="00DD7649">
        <w:rPr>
          <w:rFonts w:ascii="Times New Roman" w:hAnsi="Times New Roman"/>
          <w:sz w:val="24"/>
          <w:szCs w:val="24"/>
          <w:highlight w:val="lightGray"/>
          <w:lang w:val="lv-LV"/>
        </w:rPr>
        <w:t xml:space="preserve">94 miljoni </w:t>
      </w:r>
      <w:proofErr w:type="spellStart"/>
      <w:r w:rsidRPr="00A94689">
        <w:rPr>
          <w:rFonts w:ascii="Times New Roman" w:hAnsi="Times New Roman"/>
          <w:sz w:val="24"/>
          <w:szCs w:val="24"/>
          <w:lang w:val="lv-LV"/>
        </w:rPr>
        <w:t>e</w:t>
      </w:r>
      <w:r w:rsidR="00382333">
        <w:rPr>
          <w:rFonts w:ascii="Times New Roman" w:hAnsi="Times New Roman"/>
          <w:sz w:val="24"/>
          <w:szCs w:val="24"/>
          <w:lang w:val="lv-LV"/>
        </w:rPr>
        <w:t>u</w:t>
      </w:r>
      <w:r w:rsidRPr="00A94689">
        <w:rPr>
          <w:rFonts w:ascii="Times New Roman" w:hAnsi="Times New Roman"/>
          <w:sz w:val="24"/>
          <w:szCs w:val="24"/>
          <w:lang w:val="lv-LV"/>
        </w:rPr>
        <w:t>ro</w:t>
      </w:r>
      <w:proofErr w:type="spellEnd"/>
      <w:r w:rsidRPr="00A94689">
        <w:rPr>
          <w:rFonts w:ascii="Times New Roman" w:hAnsi="Times New Roman"/>
          <w:sz w:val="24"/>
          <w:szCs w:val="24"/>
          <w:lang w:val="lv-LV"/>
        </w:rPr>
        <w:t>, neieskaitot partnervalstu iemaksas.</w:t>
      </w:r>
      <w:r w:rsidRPr="004C576C">
        <w:rPr>
          <w:rFonts w:ascii="Times New Roman" w:hAnsi="Times New Roman"/>
          <w:sz w:val="24"/>
          <w:szCs w:val="24"/>
          <w:lang w:val="lv-LV"/>
        </w:rPr>
        <w:t xml:space="preserve"> Atbildības mehānisms tiek nodrošināts ar 2 % no kopējā</w:t>
      </w:r>
      <w:r w:rsidR="0076241B">
        <w:rPr>
          <w:rFonts w:ascii="Times New Roman" w:hAnsi="Times New Roman"/>
          <w:sz w:val="24"/>
          <w:szCs w:val="24"/>
          <w:lang w:val="lv-LV"/>
        </w:rPr>
        <w:t xml:space="preserve"> </w:t>
      </w:r>
      <w:r w:rsidR="00A94689">
        <w:rPr>
          <w:rFonts w:ascii="Times New Roman" w:hAnsi="Times New Roman"/>
          <w:sz w:val="24"/>
          <w:szCs w:val="24"/>
          <w:lang w:val="lv-LV"/>
        </w:rPr>
        <w:t>Dotāciju</w:t>
      </w:r>
      <w:r w:rsidRPr="004C576C">
        <w:rPr>
          <w:rFonts w:ascii="Times New Roman" w:hAnsi="Times New Roman"/>
          <w:sz w:val="24"/>
          <w:szCs w:val="24"/>
          <w:lang w:val="lv-LV"/>
        </w:rPr>
        <w:t xml:space="preserve"> </w:t>
      </w:r>
      <w:r w:rsidR="00A94689">
        <w:rPr>
          <w:rFonts w:ascii="Times New Roman" w:hAnsi="Times New Roman"/>
          <w:sz w:val="24"/>
          <w:szCs w:val="24"/>
          <w:lang w:val="lv-LV"/>
        </w:rPr>
        <w:t>no</w:t>
      </w:r>
      <w:r w:rsidRPr="004C576C">
        <w:rPr>
          <w:rFonts w:ascii="Times New Roman" w:hAnsi="Times New Roman"/>
          <w:sz w:val="24"/>
          <w:szCs w:val="24"/>
          <w:lang w:val="lv-LV"/>
        </w:rPr>
        <w:t>līguma apmēr</w:t>
      </w:r>
      <w:r>
        <w:rPr>
          <w:rFonts w:ascii="Times New Roman" w:hAnsi="Times New Roman"/>
          <w:sz w:val="24"/>
          <w:szCs w:val="24"/>
          <w:lang w:val="lv-LV"/>
        </w:rPr>
        <w:t xml:space="preserve">a (neieskaitot partnervalstu iemaksas) jeb </w:t>
      </w:r>
      <w:r w:rsidRPr="00DD7649">
        <w:rPr>
          <w:rFonts w:ascii="Times New Roman" w:hAnsi="Times New Roman"/>
          <w:sz w:val="24"/>
          <w:szCs w:val="24"/>
          <w:highlight w:val="lightGray"/>
          <w:lang w:val="lv-LV"/>
        </w:rPr>
        <w:t>1</w:t>
      </w:r>
      <w:r w:rsidR="00382333">
        <w:rPr>
          <w:rFonts w:ascii="Times New Roman" w:hAnsi="Times New Roman"/>
          <w:sz w:val="24"/>
          <w:szCs w:val="24"/>
          <w:highlight w:val="lightGray"/>
          <w:lang w:val="lv-LV"/>
        </w:rPr>
        <w:t> </w:t>
      </w:r>
      <w:r w:rsidRPr="00DD7649">
        <w:rPr>
          <w:rFonts w:ascii="Times New Roman" w:hAnsi="Times New Roman"/>
          <w:sz w:val="24"/>
          <w:szCs w:val="24"/>
          <w:highlight w:val="lightGray"/>
          <w:lang w:val="lv-LV"/>
        </w:rPr>
        <w:t>158</w:t>
      </w:r>
      <w:r w:rsidR="00382333">
        <w:rPr>
          <w:rFonts w:ascii="Times New Roman" w:hAnsi="Times New Roman"/>
          <w:sz w:val="24"/>
          <w:szCs w:val="24"/>
          <w:highlight w:val="lightGray"/>
          <w:lang w:val="lv-LV"/>
        </w:rPr>
        <w:t> </w:t>
      </w:r>
      <w:r w:rsidRPr="00DD7649">
        <w:rPr>
          <w:rFonts w:ascii="Times New Roman" w:hAnsi="Times New Roman"/>
          <w:sz w:val="24"/>
          <w:szCs w:val="24"/>
          <w:highlight w:val="lightGray"/>
          <w:lang w:val="lv-LV"/>
        </w:rPr>
        <w:t>800</w:t>
      </w:r>
      <w:r>
        <w:rPr>
          <w:rFonts w:ascii="Times New Roman" w:hAnsi="Times New Roman"/>
          <w:sz w:val="24"/>
          <w:szCs w:val="24"/>
          <w:lang w:val="lv-LV"/>
        </w:rPr>
        <w:t xml:space="preserve"> </w:t>
      </w:r>
      <w:proofErr w:type="spellStart"/>
      <w:r>
        <w:rPr>
          <w:rFonts w:ascii="Times New Roman" w:hAnsi="Times New Roman"/>
          <w:sz w:val="24"/>
          <w:szCs w:val="24"/>
          <w:lang w:val="lv-LV"/>
        </w:rPr>
        <w:t>e</w:t>
      </w:r>
      <w:r w:rsidR="00382333">
        <w:rPr>
          <w:rFonts w:ascii="Times New Roman" w:hAnsi="Times New Roman"/>
          <w:sz w:val="24"/>
          <w:szCs w:val="24"/>
          <w:lang w:val="lv-LV"/>
        </w:rPr>
        <w:t>u</w:t>
      </w:r>
      <w:r>
        <w:rPr>
          <w:rFonts w:ascii="Times New Roman" w:hAnsi="Times New Roman"/>
          <w:sz w:val="24"/>
          <w:szCs w:val="24"/>
          <w:lang w:val="lv-LV"/>
        </w:rPr>
        <w:t>ro</w:t>
      </w:r>
      <w:proofErr w:type="spellEnd"/>
      <w:r w:rsidRPr="004C576C">
        <w:rPr>
          <w:rFonts w:ascii="Times New Roman" w:hAnsi="Times New Roman"/>
          <w:sz w:val="24"/>
          <w:szCs w:val="24"/>
          <w:lang w:val="lv-LV"/>
        </w:rPr>
        <w:t>.</w:t>
      </w:r>
    </w:p>
    <w:p w14:paraId="3CAB0964" w14:textId="77777777" w:rsidR="00CF5E67" w:rsidRPr="004C576C" w:rsidRDefault="00CF5E67" w:rsidP="00CF5E67">
      <w:pPr>
        <w:pStyle w:val="Heading2"/>
        <w:rPr>
          <w:rFonts w:ascii="Times New Roman" w:hAnsi="Times New Roman"/>
          <w:sz w:val="24"/>
          <w:szCs w:val="24"/>
          <w:lang w:val="lv-LV"/>
        </w:rPr>
      </w:pPr>
      <w:bookmarkStart w:id="33" w:name="_Toc429386306"/>
      <w:bookmarkStart w:id="34" w:name="_Toc83667689"/>
      <w:r w:rsidRPr="004C576C">
        <w:rPr>
          <w:rFonts w:ascii="Times New Roman" w:hAnsi="Times New Roman"/>
          <w:sz w:val="24"/>
          <w:szCs w:val="24"/>
          <w:lang w:val="lv-LV"/>
        </w:rPr>
        <w:t>5.3 – DALĪBVALSTU IEMAKSAS ATBILDĪBAS MEHĀNISMĀ</w:t>
      </w:r>
      <w:bookmarkEnd w:id="33"/>
      <w:bookmarkEnd w:id="34"/>
    </w:p>
    <w:p w14:paraId="08942091" w14:textId="7BD71869" w:rsidR="00CF5E67" w:rsidRDefault="00CF5E67" w:rsidP="00CF5E67">
      <w:pPr>
        <w:pStyle w:val="NoSpacing"/>
        <w:spacing w:after="120" w:line="276" w:lineRule="auto"/>
        <w:jc w:val="both"/>
        <w:rPr>
          <w:rFonts w:ascii="Times New Roman" w:hAnsi="Times New Roman"/>
          <w:sz w:val="24"/>
          <w:szCs w:val="24"/>
          <w:lang w:val="lv-LV"/>
        </w:rPr>
      </w:pPr>
      <w:r>
        <w:rPr>
          <w:rFonts w:ascii="Times New Roman" w:hAnsi="Times New Roman"/>
          <w:sz w:val="24"/>
          <w:szCs w:val="24"/>
          <w:lang w:val="lv-LV"/>
        </w:rPr>
        <w:t>“ESPON 2030” programmas Atbildības mehānisms būs aprīkots sekojoši.</w:t>
      </w:r>
    </w:p>
    <w:p w14:paraId="35B208FC" w14:textId="66F1ED3C" w:rsidR="00CF5E67" w:rsidRDefault="00CF5E67" w:rsidP="00CF5E67">
      <w:pPr>
        <w:pStyle w:val="NoSpacing"/>
        <w:spacing w:after="120" w:line="276" w:lineRule="auto"/>
        <w:jc w:val="both"/>
        <w:rPr>
          <w:rFonts w:ascii="Times New Roman" w:hAnsi="Times New Roman"/>
          <w:sz w:val="24"/>
          <w:szCs w:val="24"/>
          <w:lang w:val="lv-LV"/>
        </w:rPr>
      </w:pPr>
      <w:r>
        <w:rPr>
          <w:rFonts w:ascii="Times New Roman" w:hAnsi="Times New Roman"/>
          <w:sz w:val="24"/>
          <w:szCs w:val="24"/>
          <w:lang w:val="lv-LV"/>
        </w:rPr>
        <w:t xml:space="preserve">Sākotnēji summa, kas atlikusi “ESPON 2020” programmas Atbildības mehānismā un sasniedz </w:t>
      </w:r>
      <w:r w:rsidRPr="00DD7649">
        <w:rPr>
          <w:rFonts w:ascii="Times New Roman" w:hAnsi="Times New Roman"/>
          <w:sz w:val="24"/>
          <w:szCs w:val="24"/>
          <w:highlight w:val="lightGray"/>
          <w:lang w:val="lv-LV"/>
        </w:rPr>
        <w:t>712</w:t>
      </w:r>
      <w:r w:rsidR="00382333" w:rsidRPr="00DD7649">
        <w:rPr>
          <w:rFonts w:ascii="Times New Roman" w:hAnsi="Times New Roman"/>
          <w:sz w:val="24"/>
          <w:szCs w:val="24"/>
          <w:highlight w:val="lightGray"/>
          <w:lang w:val="lv-LV"/>
        </w:rPr>
        <w:t> </w:t>
      </w:r>
      <w:r w:rsidRPr="00DD7649">
        <w:rPr>
          <w:rFonts w:ascii="Times New Roman" w:hAnsi="Times New Roman"/>
          <w:sz w:val="24"/>
          <w:szCs w:val="24"/>
          <w:highlight w:val="lightGray"/>
          <w:lang w:val="lv-LV"/>
        </w:rPr>
        <w:t>611</w:t>
      </w:r>
      <w:r w:rsidRPr="00DD7649">
        <w:rPr>
          <w:rStyle w:val="FootnoteReference"/>
          <w:rFonts w:ascii="Times New Roman" w:hAnsi="Times New Roman"/>
          <w:sz w:val="24"/>
          <w:szCs w:val="24"/>
          <w:highlight w:val="lightGray"/>
          <w:lang w:val="lv-LV"/>
        </w:rPr>
        <w:footnoteReference w:id="2"/>
      </w:r>
      <w:r>
        <w:rPr>
          <w:rFonts w:ascii="Times New Roman" w:hAnsi="Times New Roman"/>
          <w:sz w:val="24"/>
          <w:szCs w:val="24"/>
          <w:lang w:val="lv-LV"/>
        </w:rPr>
        <w:t xml:space="preserve"> </w:t>
      </w:r>
      <w:proofErr w:type="spellStart"/>
      <w:r>
        <w:rPr>
          <w:rFonts w:ascii="Times New Roman" w:hAnsi="Times New Roman"/>
          <w:sz w:val="24"/>
          <w:szCs w:val="24"/>
          <w:lang w:val="lv-LV"/>
        </w:rPr>
        <w:t>e</w:t>
      </w:r>
      <w:r w:rsidR="00382333">
        <w:rPr>
          <w:rFonts w:ascii="Times New Roman" w:hAnsi="Times New Roman"/>
          <w:sz w:val="24"/>
          <w:szCs w:val="24"/>
          <w:lang w:val="lv-LV"/>
        </w:rPr>
        <w:t>u</w:t>
      </w:r>
      <w:r>
        <w:rPr>
          <w:rFonts w:ascii="Times New Roman" w:hAnsi="Times New Roman"/>
          <w:sz w:val="24"/>
          <w:szCs w:val="24"/>
          <w:lang w:val="lv-LV"/>
        </w:rPr>
        <w:t>ro</w:t>
      </w:r>
      <w:proofErr w:type="spellEnd"/>
      <w:r>
        <w:rPr>
          <w:rFonts w:ascii="Times New Roman" w:hAnsi="Times New Roman"/>
          <w:sz w:val="24"/>
          <w:szCs w:val="24"/>
          <w:lang w:val="lv-LV"/>
        </w:rPr>
        <w:t xml:space="preserve">, tiks pārskaitīta uz “ESPON 2030” Atbildības mehānismu. Šī summa tiks izmantota jebkādu ESPON ETSG Atbildības gadījumu segšanai, kas atklātos </w:t>
      </w:r>
      <w:r w:rsidR="00A94689">
        <w:rPr>
          <w:rFonts w:ascii="Times New Roman" w:hAnsi="Times New Roman"/>
          <w:sz w:val="24"/>
          <w:szCs w:val="24"/>
          <w:lang w:val="lv-LV"/>
        </w:rPr>
        <w:t>Dotāciju</w:t>
      </w:r>
      <w:r>
        <w:rPr>
          <w:rFonts w:ascii="Times New Roman" w:hAnsi="Times New Roman"/>
          <w:sz w:val="24"/>
          <w:szCs w:val="24"/>
          <w:lang w:val="lv-LV"/>
        </w:rPr>
        <w:t xml:space="preserve"> </w:t>
      </w:r>
      <w:r w:rsidR="00A94689">
        <w:rPr>
          <w:rFonts w:ascii="Times New Roman" w:hAnsi="Times New Roman"/>
          <w:sz w:val="24"/>
          <w:szCs w:val="24"/>
          <w:lang w:val="lv-LV"/>
        </w:rPr>
        <w:t>no</w:t>
      </w:r>
      <w:r>
        <w:rPr>
          <w:rFonts w:ascii="Times New Roman" w:hAnsi="Times New Roman"/>
          <w:sz w:val="24"/>
          <w:szCs w:val="24"/>
          <w:lang w:val="lv-LV"/>
        </w:rPr>
        <w:t>līguma īstenošanas laikā.</w:t>
      </w:r>
    </w:p>
    <w:p w14:paraId="0A0F68C4" w14:textId="0F2805F8" w:rsidR="00CF5E67" w:rsidRDefault="00CF5E67" w:rsidP="00CF5E67">
      <w:pPr>
        <w:pStyle w:val="NoSpacing"/>
        <w:spacing w:after="120" w:line="276" w:lineRule="auto"/>
        <w:jc w:val="both"/>
        <w:rPr>
          <w:rFonts w:ascii="Times New Roman" w:hAnsi="Times New Roman"/>
          <w:sz w:val="24"/>
          <w:szCs w:val="24"/>
          <w:lang w:val="lv-LV"/>
        </w:rPr>
      </w:pPr>
      <w:r>
        <w:rPr>
          <w:rFonts w:ascii="Times New Roman" w:hAnsi="Times New Roman"/>
          <w:sz w:val="24"/>
          <w:szCs w:val="24"/>
          <w:lang w:val="lv-LV"/>
        </w:rPr>
        <w:t>Ja ESPON ETSG izmanto visu šobrīd atlikušo summu Atbildības gadījumu segšanai, “</w:t>
      </w:r>
      <w:r w:rsidRPr="004C576C">
        <w:rPr>
          <w:rFonts w:ascii="Times New Roman" w:hAnsi="Times New Roman"/>
          <w:sz w:val="24"/>
          <w:szCs w:val="24"/>
          <w:lang w:val="lv-LV"/>
        </w:rPr>
        <w:t>ESPON 20</w:t>
      </w:r>
      <w:r>
        <w:rPr>
          <w:rFonts w:ascii="Times New Roman" w:hAnsi="Times New Roman"/>
          <w:sz w:val="24"/>
          <w:szCs w:val="24"/>
          <w:lang w:val="lv-LV"/>
        </w:rPr>
        <w:t>3</w:t>
      </w:r>
      <w:r w:rsidRPr="004C576C">
        <w:rPr>
          <w:rFonts w:ascii="Times New Roman" w:hAnsi="Times New Roman"/>
          <w:sz w:val="24"/>
          <w:szCs w:val="24"/>
          <w:lang w:val="lv-LV"/>
        </w:rPr>
        <w:t>0</w:t>
      </w:r>
      <w:r>
        <w:rPr>
          <w:rFonts w:ascii="Times New Roman" w:hAnsi="Times New Roman"/>
          <w:sz w:val="24"/>
          <w:szCs w:val="24"/>
          <w:lang w:val="lv-LV"/>
        </w:rPr>
        <w:t>”</w:t>
      </w:r>
      <w:r w:rsidRPr="004C576C">
        <w:rPr>
          <w:rFonts w:ascii="Times New Roman" w:hAnsi="Times New Roman"/>
          <w:sz w:val="24"/>
          <w:szCs w:val="24"/>
          <w:lang w:val="lv-LV"/>
        </w:rPr>
        <w:t xml:space="preserve"> Sadarbības programmas dalībvalst</w:t>
      </w:r>
      <w:r>
        <w:rPr>
          <w:rFonts w:ascii="Times New Roman" w:hAnsi="Times New Roman"/>
          <w:sz w:val="24"/>
          <w:szCs w:val="24"/>
          <w:lang w:val="lv-LV"/>
        </w:rPr>
        <w:t xml:space="preserve">īm tiks lūgts papildināt Atbildības mehānisma budžetu līdz noteiktajai maksimālajai  summai </w:t>
      </w:r>
      <w:r w:rsidRPr="00DD7649">
        <w:rPr>
          <w:rFonts w:ascii="Times New Roman" w:hAnsi="Times New Roman"/>
          <w:sz w:val="24"/>
          <w:szCs w:val="24"/>
          <w:highlight w:val="lightGray"/>
          <w:lang w:val="lv-LV"/>
        </w:rPr>
        <w:t>1</w:t>
      </w:r>
      <w:r w:rsidR="00382333" w:rsidRPr="00DD7649">
        <w:rPr>
          <w:rFonts w:ascii="Times New Roman" w:hAnsi="Times New Roman"/>
          <w:sz w:val="24"/>
          <w:szCs w:val="24"/>
          <w:highlight w:val="lightGray"/>
          <w:lang w:val="lv-LV"/>
        </w:rPr>
        <w:t> </w:t>
      </w:r>
      <w:r w:rsidRPr="00DD7649">
        <w:rPr>
          <w:rFonts w:ascii="Times New Roman" w:hAnsi="Times New Roman"/>
          <w:sz w:val="24"/>
          <w:szCs w:val="24"/>
          <w:highlight w:val="lightGray"/>
          <w:lang w:val="lv-LV"/>
        </w:rPr>
        <w:t>158</w:t>
      </w:r>
      <w:r w:rsidR="00382333" w:rsidRPr="00DD7649">
        <w:rPr>
          <w:rFonts w:ascii="Times New Roman" w:hAnsi="Times New Roman"/>
          <w:sz w:val="24"/>
          <w:szCs w:val="24"/>
          <w:highlight w:val="lightGray"/>
          <w:lang w:val="lv-LV"/>
        </w:rPr>
        <w:t> </w:t>
      </w:r>
      <w:r w:rsidRPr="00DD7649">
        <w:rPr>
          <w:rFonts w:ascii="Times New Roman" w:hAnsi="Times New Roman"/>
          <w:sz w:val="24"/>
          <w:szCs w:val="24"/>
          <w:highlight w:val="lightGray"/>
          <w:lang w:val="lv-LV"/>
        </w:rPr>
        <w:t>800</w:t>
      </w:r>
      <w:r>
        <w:rPr>
          <w:rFonts w:ascii="Times New Roman" w:hAnsi="Times New Roman"/>
          <w:sz w:val="24"/>
          <w:szCs w:val="24"/>
          <w:lang w:val="lv-LV"/>
        </w:rPr>
        <w:t xml:space="preserve"> </w:t>
      </w:r>
      <w:proofErr w:type="spellStart"/>
      <w:r>
        <w:rPr>
          <w:rFonts w:ascii="Times New Roman" w:hAnsi="Times New Roman"/>
          <w:sz w:val="24"/>
          <w:szCs w:val="24"/>
          <w:lang w:val="lv-LV"/>
        </w:rPr>
        <w:t>e</w:t>
      </w:r>
      <w:r w:rsidR="00382333">
        <w:rPr>
          <w:rFonts w:ascii="Times New Roman" w:hAnsi="Times New Roman"/>
          <w:sz w:val="24"/>
          <w:szCs w:val="24"/>
          <w:lang w:val="lv-LV"/>
        </w:rPr>
        <w:t>u</w:t>
      </w:r>
      <w:r>
        <w:rPr>
          <w:rFonts w:ascii="Times New Roman" w:hAnsi="Times New Roman"/>
          <w:sz w:val="24"/>
          <w:szCs w:val="24"/>
          <w:lang w:val="lv-LV"/>
        </w:rPr>
        <w:t>ro</w:t>
      </w:r>
      <w:proofErr w:type="spellEnd"/>
      <w:r>
        <w:rPr>
          <w:rFonts w:ascii="Times New Roman" w:hAnsi="Times New Roman"/>
          <w:sz w:val="24"/>
          <w:szCs w:val="24"/>
          <w:lang w:val="lv-LV"/>
        </w:rPr>
        <w:t xml:space="preserve"> apmērā, kā noteikts 5.2. apakšnodaļā.</w:t>
      </w:r>
      <w:r w:rsidRPr="004C576C">
        <w:rPr>
          <w:rFonts w:ascii="Times New Roman" w:hAnsi="Times New Roman"/>
          <w:sz w:val="24"/>
          <w:szCs w:val="24"/>
          <w:lang w:val="lv-LV"/>
        </w:rPr>
        <w:t xml:space="preserve"> </w:t>
      </w:r>
      <w:r>
        <w:rPr>
          <w:rFonts w:ascii="Times New Roman" w:hAnsi="Times New Roman"/>
          <w:sz w:val="24"/>
          <w:szCs w:val="24"/>
          <w:lang w:val="lv-LV"/>
        </w:rPr>
        <w:t xml:space="preserve"> Iemaksas pieprasījums partnervalstīm tiks nosūtīts tikai tad, ja “ESPON 2020” programmas Atbildības mehānisma pārpalikums ir pilnībā iztērēts.</w:t>
      </w:r>
    </w:p>
    <w:p w14:paraId="0C32EA0B" w14:textId="344FEC60" w:rsidR="00CF5E67" w:rsidRDefault="00CF5E67" w:rsidP="00CF5E67">
      <w:pPr>
        <w:pStyle w:val="NoSpacing"/>
        <w:spacing w:after="120" w:line="276" w:lineRule="auto"/>
        <w:jc w:val="both"/>
        <w:rPr>
          <w:rFonts w:ascii="Times New Roman" w:hAnsi="Times New Roman"/>
          <w:sz w:val="24"/>
          <w:szCs w:val="24"/>
          <w:lang w:val="lv-LV"/>
        </w:rPr>
      </w:pPr>
      <w:r>
        <w:rPr>
          <w:rFonts w:ascii="Times New Roman" w:hAnsi="Times New Roman"/>
          <w:sz w:val="24"/>
          <w:szCs w:val="24"/>
          <w:lang w:val="lv-LV"/>
        </w:rPr>
        <w:t>Jebkuru Atbildības gadījumu, kas pār</w:t>
      </w:r>
      <w:r w:rsidR="00895300">
        <w:rPr>
          <w:rFonts w:ascii="Times New Roman" w:hAnsi="Times New Roman"/>
          <w:sz w:val="24"/>
          <w:szCs w:val="24"/>
          <w:lang w:val="lv-LV"/>
        </w:rPr>
        <w:t>s</w:t>
      </w:r>
      <w:r>
        <w:rPr>
          <w:rFonts w:ascii="Times New Roman" w:hAnsi="Times New Roman"/>
          <w:sz w:val="24"/>
          <w:szCs w:val="24"/>
          <w:lang w:val="lv-LV"/>
        </w:rPr>
        <w:t xml:space="preserve">niedz noteikto maksimālo “ESPON 2030” programmas Atbildības mehānisma budžetu, sedz Luksemburgas Lielhercogiste. </w:t>
      </w:r>
    </w:p>
    <w:p w14:paraId="18495C60" w14:textId="7E551E25" w:rsidR="00CF5E67" w:rsidRPr="004C576C" w:rsidRDefault="00CF5E67" w:rsidP="00CF5E67">
      <w:pPr>
        <w:pStyle w:val="NoSpacing"/>
        <w:spacing w:after="120" w:line="276" w:lineRule="auto"/>
        <w:jc w:val="both"/>
        <w:rPr>
          <w:rFonts w:ascii="Times New Roman" w:hAnsi="Times New Roman"/>
          <w:sz w:val="24"/>
          <w:szCs w:val="24"/>
          <w:lang w:val="lv-LV"/>
        </w:rPr>
      </w:pPr>
      <w:r>
        <w:rPr>
          <w:rFonts w:ascii="Times New Roman" w:hAnsi="Times New Roman"/>
          <w:sz w:val="24"/>
          <w:szCs w:val="24"/>
          <w:lang w:val="lv-LV"/>
        </w:rPr>
        <w:t xml:space="preserve">Katras dalībvalsts </w:t>
      </w:r>
      <w:r w:rsidRPr="004C576C">
        <w:rPr>
          <w:rFonts w:ascii="Times New Roman" w:hAnsi="Times New Roman"/>
          <w:sz w:val="24"/>
          <w:szCs w:val="24"/>
          <w:lang w:val="lv-LV"/>
        </w:rPr>
        <w:t xml:space="preserve">Atbildības mehānismā iemaksājamā </w:t>
      </w:r>
      <w:r>
        <w:rPr>
          <w:rFonts w:ascii="Times New Roman" w:hAnsi="Times New Roman"/>
          <w:sz w:val="24"/>
          <w:szCs w:val="24"/>
          <w:lang w:val="lv-LV"/>
        </w:rPr>
        <w:t xml:space="preserve">papildinošā </w:t>
      </w:r>
      <w:r w:rsidRPr="004C576C">
        <w:rPr>
          <w:rFonts w:ascii="Times New Roman" w:hAnsi="Times New Roman"/>
          <w:sz w:val="24"/>
          <w:szCs w:val="24"/>
          <w:lang w:val="lv-LV"/>
        </w:rPr>
        <w:t xml:space="preserve">summa tiek aprēķināta pamatojoties uz tā paša principa, kas tiek izmantots, lai aprēķinātu konkrētās valsts iemaksu </w:t>
      </w:r>
      <w:r>
        <w:rPr>
          <w:rFonts w:ascii="Times New Roman" w:hAnsi="Times New Roman"/>
          <w:sz w:val="24"/>
          <w:szCs w:val="24"/>
          <w:lang w:val="lv-LV"/>
        </w:rPr>
        <w:t>“</w:t>
      </w:r>
      <w:r w:rsidRPr="004C576C">
        <w:rPr>
          <w:rFonts w:ascii="Times New Roman" w:hAnsi="Times New Roman"/>
          <w:sz w:val="24"/>
          <w:szCs w:val="24"/>
          <w:lang w:val="lv-LV"/>
        </w:rPr>
        <w:t>ESPON 20</w:t>
      </w:r>
      <w:r>
        <w:rPr>
          <w:rFonts w:ascii="Times New Roman" w:hAnsi="Times New Roman"/>
          <w:sz w:val="24"/>
          <w:szCs w:val="24"/>
          <w:lang w:val="lv-LV"/>
        </w:rPr>
        <w:t>3</w:t>
      </w:r>
      <w:r w:rsidRPr="004C576C">
        <w:rPr>
          <w:rFonts w:ascii="Times New Roman" w:hAnsi="Times New Roman"/>
          <w:sz w:val="24"/>
          <w:szCs w:val="24"/>
          <w:lang w:val="lv-LV"/>
        </w:rPr>
        <w:t>0</w:t>
      </w:r>
      <w:r>
        <w:rPr>
          <w:rFonts w:ascii="Times New Roman" w:hAnsi="Times New Roman"/>
          <w:sz w:val="24"/>
          <w:szCs w:val="24"/>
          <w:lang w:val="lv-LV"/>
        </w:rPr>
        <w:t>”</w:t>
      </w:r>
      <w:r w:rsidRPr="004C576C">
        <w:rPr>
          <w:rFonts w:ascii="Times New Roman" w:hAnsi="Times New Roman"/>
          <w:sz w:val="24"/>
          <w:szCs w:val="24"/>
          <w:lang w:val="lv-LV"/>
        </w:rPr>
        <w:t xml:space="preserve"> programmā</w:t>
      </w:r>
      <w:r>
        <w:rPr>
          <w:rFonts w:ascii="Times New Roman" w:hAnsi="Times New Roman"/>
          <w:sz w:val="24"/>
          <w:szCs w:val="24"/>
          <w:lang w:val="lv-LV"/>
        </w:rPr>
        <w:t>, aprēķinā tiks ņemtas vērā arī katras dalībvalsts jau veiktās faktiskās iemaksas “ESPON 2020” programmas Atbildības mehānismā</w:t>
      </w:r>
      <w:r w:rsidRPr="004C576C">
        <w:rPr>
          <w:rFonts w:ascii="Times New Roman" w:hAnsi="Times New Roman"/>
          <w:sz w:val="24"/>
          <w:szCs w:val="24"/>
          <w:lang w:val="lv-LV"/>
        </w:rPr>
        <w:t>.</w:t>
      </w:r>
    </w:p>
    <w:p w14:paraId="5789AA91" w14:textId="329CBF7A" w:rsidR="00CF5E67" w:rsidRPr="006B344B" w:rsidRDefault="00CF5E67" w:rsidP="006B344B">
      <w:pPr>
        <w:pStyle w:val="NoSpacing"/>
        <w:spacing w:after="120" w:line="276" w:lineRule="auto"/>
        <w:jc w:val="both"/>
        <w:rPr>
          <w:rFonts w:ascii="Times New Roman" w:hAnsi="Times New Roman"/>
          <w:sz w:val="24"/>
          <w:szCs w:val="24"/>
          <w:lang w:val="lv-LV"/>
        </w:rPr>
      </w:pPr>
      <w:r>
        <w:rPr>
          <w:rFonts w:ascii="Times New Roman" w:hAnsi="Times New Roman"/>
          <w:sz w:val="24"/>
          <w:szCs w:val="24"/>
          <w:lang w:val="lv-LV"/>
        </w:rPr>
        <w:lastRenderedPageBreak/>
        <w:t>Tiklīdz nepieciešama Atbildības mehānismā pieejamā summas papildināšana, lai sasniegtu maksimālo 1</w:t>
      </w:r>
      <w:r w:rsidR="00382333">
        <w:rPr>
          <w:rFonts w:ascii="Times New Roman" w:hAnsi="Times New Roman"/>
          <w:sz w:val="24"/>
          <w:szCs w:val="24"/>
          <w:lang w:val="lv-LV"/>
        </w:rPr>
        <w:t> </w:t>
      </w:r>
      <w:r>
        <w:rPr>
          <w:rFonts w:ascii="Times New Roman" w:hAnsi="Times New Roman"/>
          <w:sz w:val="24"/>
          <w:szCs w:val="24"/>
          <w:lang w:val="lv-LV"/>
        </w:rPr>
        <w:t>158</w:t>
      </w:r>
      <w:r w:rsidR="00382333">
        <w:rPr>
          <w:rFonts w:ascii="Times New Roman" w:hAnsi="Times New Roman"/>
          <w:sz w:val="24"/>
          <w:szCs w:val="24"/>
          <w:lang w:val="lv-LV"/>
        </w:rPr>
        <w:t> </w:t>
      </w:r>
      <w:r>
        <w:rPr>
          <w:rFonts w:ascii="Times New Roman" w:hAnsi="Times New Roman"/>
          <w:sz w:val="24"/>
          <w:szCs w:val="24"/>
          <w:lang w:val="lv-LV"/>
        </w:rPr>
        <w:t xml:space="preserve">800 </w:t>
      </w:r>
      <w:proofErr w:type="spellStart"/>
      <w:r>
        <w:rPr>
          <w:rFonts w:ascii="Times New Roman" w:hAnsi="Times New Roman"/>
          <w:sz w:val="24"/>
          <w:szCs w:val="24"/>
          <w:lang w:val="lv-LV"/>
        </w:rPr>
        <w:t>e</w:t>
      </w:r>
      <w:r w:rsidR="00382333">
        <w:rPr>
          <w:rFonts w:ascii="Times New Roman" w:hAnsi="Times New Roman"/>
          <w:sz w:val="24"/>
          <w:szCs w:val="24"/>
          <w:lang w:val="lv-LV"/>
        </w:rPr>
        <w:t>u</w:t>
      </w:r>
      <w:r>
        <w:rPr>
          <w:rFonts w:ascii="Times New Roman" w:hAnsi="Times New Roman"/>
          <w:sz w:val="24"/>
          <w:szCs w:val="24"/>
          <w:lang w:val="lv-LV"/>
        </w:rPr>
        <w:t>ro</w:t>
      </w:r>
      <w:proofErr w:type="spellEnd"/>
      <w:r>
        <w:rPr>
          <w:rFonts w:ascii="Times New Roman" w:hAnsi="Times New Roman"/>
          <w:sz w:val="24"/>
          <w:szCs w:val="24"/>
          <w:lang w:val="lv-LV"/>
        </w:rPr>
        <w:t xml:space="preserve"> slieksni, d</w:t>
      </w:r>
      <w:r w:rsidRPr="004C576C">
        <w:rPr>
          <w:rFonts w:ascii="Times New Roman" w:hAnsi="Times New Roman"/>
          <w:sz w:val="24"/>
          <w:szCs w:val="24"/>
          <w:lang w:val="lv-LV"/>
        </w:rPr>
        <w:t xml:space="preserve">alībvalstis pārskaita savu ikgadējo iemaksu Atbildības mehānismā kopā ar savu ikgadējo nacionālo iemaksu </w:t>
      </w:r>
      <w:r>
        <w:rPr>
          <w:rFonts w:ascii="Times New Roman" w:hAnsi="Times New Roman"/>
          <w:sz w:val="24"/>
          <w:szCs w:val="24"/>
          <w:lang w:val="lv-LV"/>
        </w:rPr>
        <w:t>“</w:t>
      </w:r>
      <w:r w:rsidRPr="004C576C">
        <w:rPr>
          <w:rFonts w:ascii="Times New Roman" w:hAnsi="Times New Roman"/>
          <w:sz w:val="24"/>
          <w:szCs w:val="24"/>
          <w:lang w:val="lv-LV"/>
        </w:rPr>
        <w:t>ESPON 20</w:t>
      </w:r>
      <w:r>
        <w:rPr>
          <w:rFonts w:ascii="Times New Roman" w:hAnsi="Times New Roman"/>
          <w:sz w:val="24"/>
          <w:szCs w:val="24"/>
          <w:lang w:val="lv-LV"/>
        </w:rPr>
        <w:t>3</w:t>
      </w:r>
      <w:r w:rsidRPr="004C576C">
        <w:rPr>
          <w:rFonts w:ascii="Times New Roman" w:hAnsi="Times New Roman"/>
          <w:sz w:val="24"/>
          <w:szCs w:val="24"/>
          <w:lang w:val="lv-LV"/>
        </w:rPr>
        <w:t>0</w:t>
      </w:r>
      <w:r>
        <w:rPr>
          <w:rFonts w:ascii="Times New Roman" w:hAnsi="Times New Roman"/>
          <w:sz w:val="24"/>
          <w:szCs w:val="24"/>
          <w:lang w:val="lv-LV"/>
        </w:rPr>
        <w:t>” p</w:t>
      </w:r>
      <w:r w:rsidRPr="004C576C">
        <w:rPr>
          <w:rFonts w:ascii="Times New Roman" w:hAnsi="Times New Roman"/>
          <w:sz w:val="24"/>
          <w:szCs w:val="24"/>
          <w:lang w:val="lv-LV"/>
        </w:rPr>
        <w:t>rogrammā</w:t>
      </w:r>
      <w:r>
        <w:rPr>
          <w:rFonts w:ascii="Times New Roman" w:hAnsi="Times New Roman"/>
          <w:sz w:val="24"/>
          <w:szCs w:val="24"/>
          <w:lang w:val="lv-LV"/>
        </w:rPr>
        <w:t>.</w:t>
      </w:r>
      <w:r w:rsidRPr="004C576C">
        <w:rPr>
          <w:rFonts w:ascii="Times New Roman" w:hAnsi="Times New Roman"/>
          <w:sz w:val="24"/>
          <w:szCs w:val="24"/>
          <w:lang w:val="lv-LV"/>
        </w:rPr>
        <w:t xml:space="preserve"> </w:t>
      </w:r>
      <w:r w:rsidRPr="00E97A41">
        <w:rPr>
          <w:rFonts w:ascii="Times New Roman" w:hAnsi="Times New Roman"/>
          <w:sz w:val="24"/>
          <w:szCs w:val="24"/>
          <w:lang w:val="lv-LV"/>
        </w:rPr>
        <w:t>Kā izklāstīts 6.1. punktā, Atbildības mehānismam ievāktās ikgadējās iemaksas tiek uzkrātas kā Fonds īpašā budžeta līnijā atsevišķi no ikgadējām nacionālajām iemaksām “ESPON 2030” programmā</w:t>
      </w:r>
      <w:r w:rsidRPr="004C576C">
        <w:rPr>
          <w:rFonts w:ascii="Times New Roman" w:hAnsi="Times New Roman"/>
          <w:sz w:val="24"/>
          <w:szCs w:val="24"/>
          <w:lang w:val="lv-LV"/>
        </w:rPr>
        <w:t xml:space="preserve">. </w:t>
      </w:r>
    </w:p>
    <w:p w14:paraId="57614F65" w14:textId="2A2B296A" w:rsidR="00CF5E67" w:rsidRPr="004C576C" w:rsidRDefault="00CF5E67" w:rsidP="00CF5E67">
      <w:pPr>
        <w:pStyle w:val="NoSpacing"/>
        <w:keepNext/>
        <w:spacing w:after="120" w:line="276" w:lineRule="auto"/>
        <w:jc w:val="both"/>
        <w:rPr>
          <w:rFonts w:ascii="Times New Roman" w:hAnsi="Times New Roman"/>
          <w:b/>
          <w:sz w:val="24"/>
          <w:szCs w:val="24"/>
          <w:lang w:val="lv-LV"/>
        </w:rPr>
      </w:pPr>
      <w:r w:rsidRPr="004C576C">
        <w:rPr>
          <w:rFonts w:ascii="Times New Roman" w:hAnsi="Times New Roman"/>
          <w:b/>
          <w:sz w:val="24"/>
          <w:szCs w:val="24"/>
          <w:lang w:val="lv-LV"/>
        </w:rPr>
        <w:t xml:space="preserve">1. tabula. </w:t>
      </w:r>
      <w:r>
        <w:rPr>
          <w:rFonts w:ascii="Times New Roman" w:hAnsi="Times New Roman"/>
          <w:b/>
          <w:sz w:val="24"/>
          <w:szCs w:val="24"/>
          <w:lang w:val="lv-LV"/>
        </w:rPr>
        <w:t>Visu d</w:t>
      </w:r>
      <w:r w:rsidRPr="004C576C">
        <w:rPr>
          <w:rFonts w:ascii="Times New Roman" w:hAnsi="Times New Roman"/>
          <w:b/>
          <w:sz w:val="24"/>
          <w:szCs w:val="24"/>
          <w:lang w:val="lv-LV"/>
        </w:rPr>
        <w:t>alībvalstu kopēj</w:t>
      </w:r>
      <w:r>
        <w:rPr>
          <w:rFonts w:ascii="Times New Roman" w:hAnsi="Times New Roman"/>
          <w:b/>
          <w:sz w:val="24"/>
          <w:szCs w:val="24"/>
          <w:lang w:val="lv-LV"/>
        </w:rPr>
        <w:t>o</w:t>
      </w:r>
      <w:r w:rsidRPr="004C576C">
        <w:rPr>
          <w:rFonts w:ascii="Times New Roman" w:hAnsi="Times New Roman"/>
          <w:b/>
          <w:sz w:val="24"/>
          <w:szCs w:val="24"/>
          <w:lang w:val="lv-LV"/>
        </w:rPr>
        <w:t xml:space="preserve"> </w:t>
      </w:r>
      <w:r>
        <w:rPr>
          <w:rFonts w:ascii="Times New Roman" w:hAnsi="Times New Roman"/>
          <w:b/>
          <w:sz w:val="24"/>
          <w:szCs w:val="24"/>
          <w:lang w:val="lv-LV"/>
        </w:rPr>
        <w:t xml:space="preserve">Atbildības mehānisma </w:t>
      </w:r>
      <w:r w:rsidRPr="004C576C">
        <w:rPr>
          <w:rFonts w:ascii="Times New Roman" w:hAnsi="Times New Roman"/>
          <w:b/>
          <w:sz w:val="24"/>
          <w:szCs w:val="24"/>
          <w:lang w:val="lv-LV"/>
        </w:rPr>
        <w:t>iemaks</w:t>
      </w:r>
      <w:r>
        <w:rPr>
          <w:rFonts w:ascii="Times New Roman" w:hAnsi="Times New Roman"/>
          <w:b/>
          <w:sz w:val="24"/>
          <w:szCs w:val="24"/>
          <w:lang w:val="lv-LV"/>
        </w:rPr>
        <w:t>u aprēķins</w:t>
      </w:r>
      <w:r w:rsidRPr="004C576C">
        <w:rPr>
          <w:rFonts w:ascii="Times New Roman" w:hAnsi="Times New Roman"/>
          <w:b/>
          <w:sz w:val="24"/>
          <w:szCs w:val="24"/>
          <w:lang w:val="lv-LV"/>
        </w:rPr>
        <w:t xml:space="preserve"> </w:t>
      </w:r>
    </w:p>
    <w:p w14:paraId="4B2FC3E9" w14:textId="77777777" w:rsidR="00CF5E67" w:rsidRPr="004C576C" w:rsidRDefault="00CF5E67" w:rsidP="00CF5E67">
      <w:pPr>
        <w:spacing w:after="120"/>
        <w:rPr>
          <w:rFonts w:ascii="Times New Roman" w:hAnsi="Times New Roman"/>
          <w:b/>
          <w:sz w:val="24"/>
          <w:szCs w:val="24"/>
          <w:lang w:val="lv-LV"/>
        </w:rPr>
      </w:pPr>
    </w:p>
    <w:tbl>
      <w:tblPr>
        <w:tblW w:w="9009" w:type="dxa"/>
        <w:tblInd w:w="118" w:type="dxa"/>
        <w:tblLook w:val="04A0" w:firstRow="1" w:lastRow="0" w:firstColumn="1" w:lastColumn="0" w:noHBand="0" w:noVBand="1"/>
      </w:tblPr>
      <w:tblGrid>
        <w:gridCol w:w="1327"/>
        <w:gridCol w:w="1528"/>
        <w:gridCol w:w="1909"/>
        <w:gridCol w:w="2283"/>
        <w:gridCol w:w="2070"/>
      </w:tblGrid>
      <w:tr w:rsidR="00CF5E67" w:rsidRPr="00441CF8" w14:paraId="31C7401A" w14:textId="77777777" w:rsidTr="00D7728D">
        <w:trPr>
          <w:trHeight w:val="766"/>
        </w:trPr>
        <w:tc>
          <w:tcPr>
            <w:tcW w:w="1284" w:type="dxa"/>
            <w:vMerge w:val="restart"/>
            <w:tcBorders>
              <w:top w:val="single" w:sz="8" w:space="0" w:color="auto"/>
              <w:left w:val="single" w:sz="8" w:space="0" w:color="auto"/>
              <w:bottom w:val="nil"/>
              <w:right w:val="single" w:sz="4" w:space="0" w:color="auto"/>
            </w:tcBorders>
            <w:shd w:val="clear" w:color="000000" w:fill="FFFFFF"/>
            <w:noWrap/>
            <w:vAlign w:val="center"/>
            <w:hideMark/>
          </w:tcPr>
          <w:p w14:paraId="027BA2E8" w14:textId="77777777" w:rsidR="00CF5E67" w:rsidRPr="00441CF8" w:rsidRDefault="00CF5E67" w:rsidP="00D7728D">
            <w:pPr>
              <w:spacing w:after="0" w:line="240" w:lineRule="auto"/>
              <w:jc w:val="center"/>
              <w:rPr>
                <w:rFonts w:ascii="Calibri" w:hAnsi="Calibri" w:cs="Calibri"/>
                <w:b/>
                <w:bCs/>
                <w:sz w:val="20"/>
                <w:szCs w:val="20"/>
                <w:lang w:val="en-US"/>
              </w:rPr>
            </w:pPr>
            <w:proofErr w:type="spellStart"/>
            <w:r>
              <w:rPr>
                <w:rFonts w:ascii="Calibri" w:hAnsi="Calibri" w:cs="Calibri"/>
                <w:b/>
                <w:bCs/>
                <w:sz w:val="20"/>
                <w:szCs w:val="20"/>
                <w:lang w:val="en-US"/>
              </w:rPr>
              <w:t>Dalībvalsts</w:t>
            </w:r>
            <w:proofErr w:type="spellEnd"/>
          </w:p>
        </w:tc>
        <w:tc>
          <w:tcPr>
            <w:tcW w:w="1463"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5C2548EA" w14:textId="77777777" w:rsidR="00CF5E67" w:rsidRPr="00441CF8" w:rsidRDefault="00CF5E67" w:rsidP="00D7728D">
            <w:pPr>
              <w:spacing w:after="0" w:line="240" w:lineRule="auto"/>
              <w:jc w:val="center"/>
              <w:rPr>
                <w:rFonts w:ascii="Calibri" w:hAnsi="Calibri" w:cs="Calibri"/>
                <w:b/>
                <w:bCs/>
                <w:sz w:val="20"/>
                <w:szCs w:val="20"/>
                <w:lang w:val="en-US"/>
              </w:rPr>
            </w:pPr>
            <w:proofErr w:type="spellStart"/>
            <w:r>
              <w:rPr>
                <w:rFonts w:ascii="Calibri" w:hAnsi="Calibri" w:cs="Calibri"/>
                <w:b/>
                <w:bCs/>
                <w:sz w:val="20"/>
                <w:szCs w:val="20"/>
                <w:lang w:val="en-US"/>
              </w:rPr>
              <w:t>Nacionālā</w:t>
            </w:r>
            <w:proofErr w:type="spellEnd"/>
            <w:r>
              <w:rPr>
                <w:rFonts w:ascii="Calibri" w:hAnsi="Calibri" w:cs="Calibri"/>
                <w:b/>
                <w:bCs/>
                <w:sz w:val="20"/>
                <w:szCs w:val="20"/>
                <w:lang w:val="en-US"/>
              </w:rPr>
              <w:t xml:space="preserve"> </w:t>
            </w:r>
            <w:proofErr w:type="spellStart"/>
            <w:r>
              <w:rPr>
                <w:rFonts w:ascii="Calibri" w:hAnsi="Calibri" w:cs="Calibri"/>
                <w:b/>
                <w:bCs/>
                <w:sz w:val="20"/>
                <w:szCs w:val="20"/>
                <w:lang w:val="en-US"/>
              </w:rPr>
              <w:t>līdzfinansējuma</w:t>
            </w:r>
            <w:proofErr w:type="spellEnd"/>
            <w:r>
              <w:rPr>
                <w:rFonts w:ascii="Calibri" w:hAnsi="Calibri" w:cs="Calibri"/>
                <w:b/>
                <w:bCs/>
                <w:sz w:val="20"/>
                <w:szCs w:val="20"/>
                <w:lang w:val="en-US"/>
              </w:rPr>
              <w:t xml:space="preserve"> </w:t>
            </w:r>
            <w:proofErr w:type="spellStart"/>
            <w:r>
              <w:rPr>
                <w:rFonts w:ascii="Calibri" w:hAnsi="Calibri" w:cs="Calibri"/>
                <w:b/>
                <w:bCs/>
                <w:sz w:val="20"/>
                <w:szCs w:val="20"/>
                <w:lang w:val="en-US"/>
              </w:rPr>
              <w:t>daļa</w:t>
            </w:r>
            <w:proofErr w:type="spellEnd"/>
            <w:r>
              <w:rPr>
                <w:rFonts w:ascii="Calibri" w:hAnsi="Calibri" w:cs="Calibri"/>
                <w:b/>
                <w:bCs/>
                <w:sz w:val="20"/>
                <w:szCs w:val="20"/>
                <w:lang w:val="en-US"/>
              </w:rPr>
              <w:t xml:space="preserve"> ESPON 2030</w:t>
            </w:r>
          </w:p>
        </w:tc>
        <w:tc>
          <w:tcPr>
            <w:tcW w:w="6262" w:type="dxa"/>
            <w:gridSpan w:val="3"/>
            <w:tcBorders>
              <w:top w:val="single" w:sz="8" w:space="0" w:color="auto"/>
              <w:left w:val="single" w:sz="4" w:space="0" w:color="auto"/>
              <w:bottom w:val="single" w:sz="4" w:space="0" w:color="000000"/>
              <w:right w:val="single" w:sz="8" w:space="0" w:color="000000"/>
            </w:tcBorders>
            <w:shd w:val="clear" w:color="000000" w:fill="FFFFFF"/>
            <w:vAlign w:val="center"/>
            <w:hideMark/>
          </w:tcPr>
          <w:p w14:paraId="1D6B206A" w14:textId="77777777" w:rsidR="00CF5E67" w:rsidRPr="00441CF8" w:rsidRDefault="00CF5E67" w:rsidP="00D7728D">
            <w:pPr>
              <w:spacing w:after="0" w:line="240" w:lineRule="auto"/>
              <w:jc w:val="center"/>
              <w:rPr>
                <w:rFonts w:ascii="Calibri" w:hAnsi="Calibri" w:cs="Calibri"/>
                <w:b/>
                <w:bCs/>
                <w:sz w:val="20"/>
                <w:szCs w:val="20"/>
                <w:lang w:val="en-US"/>
              </w:rPr>
            </w:pPr>
            <w:proofErr w:type="spellStart"/>
            <w:r>
              <w:rPr>
                <w:rFonts w:ascii="Calibri" w:hAnsi="Calibri" w:cs="Calibri"/>
                <w:b/>
                <w:bCs/>
                <w:sz w:val="20"/>
                <w:szCs w:val="20"/>
                <w:lang w:val="en-US"/>
              </w:rPr>
              <w:t>Kopējās</w:t>
            </w:r>
            <w:proofErr w:type="spellEnd"/>
            <w:r>
              <w:rPr>
                <w:rFonts w:ascii="Calibri" w:hAnsi="Calibri" w:cs="Calibri"/>
                <w:b/>
                <w:bCs/>
                <w:sz w:val="20"/>
                <w:szCs w:val="20"/>
                <w:lang w:val="en-US"/>
              </w:rPr>
              <w:t xml:space="preserve"> </w:t>
            </w:r>
            <w:proofErr w:type="spellStart"/>
            <w:r>
              <w:rPr>
                <w:rFonts w:ascii="Calibri" w:hAnsi="Calibri" w:cs="Calibri"/>
                <w:b/>
                <w:bCs/>
                <w:sz w:val="20"/>
                <w:szCs w:val="20"/>
                <w:lang w:val="en-US"/>
              </w:rPr>
              <w:t>iemaksas</w:t>
            </w:r>
            <w:proofErr w:type="spellEnd"/>
            <w:r>
              <w:rPr>
                <w:rFonts w:ascii="Calibri" w:hAnsi="Calibri" w:cs="Calibri"/>
                <w:b/>
                <w:bCs/>
                <w:sz w:val="20"/>
                <w:szCs w:val="20"/>
                <w:lang w:val="en-US"/>
              </w:rPr>
              <w:t xml:space="preserve"> </w:t>
            </w:r>
            <w:proofErr w:type="spellStart"/>
            <w:r>
              <w:rPr>
                <w:rFonts w:ascii="Calibri" w:hAnsi="Calibri" w:cs="Calibri"/>
                <w:b/>
                <w:bCs/>
                <w:sz w:val="20"/>
                <w:szCs w:val="20"/>
                <w:lang w:val="en-US"/>
              </w:rPr>
              <w:t>Atbildības</w:t>
            </w:r>
            <w:proofErr w:type="spellEnd"/>
            <w:r>
              <w:rPr>
                <w:rFonts w:ascii="Calibri" w:hAnsi="Calibri" w:cs="Calibri"/>
                <w:b/>
                <w:bCs/>
                <w:sz w:val="20"/>
                <w:szCs w:val="20"/>
                <w:lang w:val="en-US"/>
              </w:rPr>
              <w:t xml:space="preserve"> </w:t>
            </w:r>
            <w:proofErr w:type="spellStart"/>
            <w:r>
              <w:rPr>
                <w:rFonts w:ascii="Calibri" w:hAnsi="Calibri" w:cs="Calibri"/>
                <w:b/>
                <w:bCs/>
                <w:sz w:val="20"/>
                <w:szCs w:val="20"/>
                <w:lang w:val="en-US"/>
              </w:rPr>
              <w:t>mehānismā</w:t>
            </w:r>
            <w:proofErr w:type="spellEnd"/>
            <w:r w:rsidRPr="00441CF8">
              <w:rPr>
                <w:rFonts w:ascii="Calibri" w:hAnsi="Calibri" w:cs="Calibri"/>
                <w:b/>
                <w:bCs/>
                <w:sz w:val="20"/>
                <w:szCs w:val="20"/>
                <w:lang w:val="en-US"/>
              </w:rPr>
              <w:t xml:space="preserve"> </w:t>
            </w:r>
          </w:p>
        </w:tc>
      </w:tr>
      <w:tr w:rsidR="00CF5E67" w:rsidRPr="00520031" w14:paraId="28072273" w14:textId="77777777" w:rsidTr="00D7728D">
        <w:trPr>
          <w:trHeight w:val="1221"/>
        </w:trPr>
        <w:tc>
          <w:tcPr>
            <w:tcW w:w="1284" w:type="dxa"/>
            <w:vMerge/>
            <w:tcBorders>
              <w:left w:val="single" w:sz="8" w:space="0" w:color="auto"/>
              <w:bottom w:val="single" w:sz="8" w:space="0" w:color="000000"/>
              <w:right w:val="single" w:sz="4" w:space="0" w:color="auto"/>
            </w:tcBorders>
            <w:shd w:val="clear" w:color="000000" w:fill="FFFFFF"/>
            <w:vAlign w:val="center"/>
            <w:hideMark/>
          </w:tcPr>
          <w:p w14:paraId="43F2E4C3" w14:textId="77777777" w:rsidR="00CF5E67" w:rsidRPr="00441CF8" w:rsidRDefault="00CF5E67" w:rsidP="00D7728D">
            <w:pPr>
              <w:spacing w:after="0" w:line="240" w:lineRule="auto"/>
              <w:rPr>
                <w:rFonts w:ascii="Calibri" w:hAnsi="Calibri" w:cs="Calibri"/>
                <w:b/>
                <w:bCs/>
                <w:sz w:val="20"/>
                <w:szCs w:val="20"/>
                <w:lang w:val="en-US"/>
              </w:rPr>
            </w:pPr>
          </w:p>
        </w:tc>
        <w:tc>
          <w:tcPr>
            <w:tcW w:w="1463" w:type="dxa"/>
            <w:vMerge/>
            <w:tcBorders>
              <w:top w:val="single" w:sz="8" w:space="0" w:color="auto"/>
              <w:left w:val="single" w:sz="4" w:space="0" w:color="auto"/>
              <w:bottom w:val="single" w:sz="4" w:space="0" w:color="auto"/>
              <w:right w:val="single" w:sz="4" w:space="0" w:color="auto"/>
            </w:tcBorders>
            <w:vAlign w:val="center"/>
            <w:hideMark/>
          </w:tcPr>
          <w:p w14:paraId="583ED2F9" w14:textId="77777777" w:rsidR="00CF5E67" w:rsidRPr="00441CF8" w:rsidRDefault="00CF5E67" w:rsidP="00D7728D">
            <w:pPr>
              <w:spacing w:after="0" w:line="240" w:lineRule="auto"/>
              <w:rPr>
                <w:rFonts w:ascii="Calibri" w:hAnsi="Calibri" w:cs="Calibri"/>
                <w:b/>
                <w:bCs/>
                <w:sz w:val="20"/>
                <w:szCs w:val="20"/>
                <w:lang w:val="en-US"/>
              </w:rPr>
            </w:pPr>
          </w:p>
        </w:tc>
        <w:tc>
          <w:tcPr>
            <w:tcW w:w="1909" w:type="dxa"/>
            <w:tcBorders>
              <w:top w:val="nil"/>
              <w:left w:val="single" w:sz="4" w:space="0" w:color="auto"/>
              <w:bottom w:val="single" w:sz="4" w:space="0" w:color="auto"/>
              <w:right w:val="single" w:sz="4" w:space="0" w:color="auto"/>
            </w:tcBorders>
            <w:shd w:val="clear" w:color="000000" w:fill="FFFFFF"/>
            <w:vAlign w:val="center"/>
            <w:hideMark/>
          </w:tcPr>
          <w:p w14:paraId="7D3074E4" w14:textId="55FE5566" w:rsidR="00CF5E67" w:rsidRPr="00441CF8" w:rsidRDefault="00CF5E67" w:rsidP="00D7728D">
            <w:pPr>
              <w:spacing w:after="0" w:line="240" w:lineRule="auto"/>
              <w:jc w:val="center"/>
              <w:rPr>
                <w:rFonts w:ascii="Calibri" w:hAnsi="Calibri" w:cs="Calibri"/>
                <w:b/>
                <w:bCs/>
                <w:sz w:val="20"/>
                <w:szCs w:val="20"/>
                <w:lang w:val="en-US"/>
              </w:rPr>
            </w:pPr>
            <w:proofErr w:type="spellStart"/>
            <w:r>
              <w:rPr>
                <w:rFonts w:ascii="Calibri" w:hAnsi="Calibri" w:cs="Calibri"/>
                <w:b/>
                <w:bCs/>
                <w:sz w:val="20"/>
                <w:szCs w:val="20"/>
                <w:lang w:val="en-US"/>
              </w:rPr>
              <w:t>Kopējās</w:t>
            </w:r>
            <w:proofErr w:type="spellEnd"/>
            <w:r>
              <w:rPr>
                <w:rFonts w:ascii="Calibri" w:hAnsi="Calibri" w:cs="Calibri"/>
                <w:b/>
                <w:bCs/>
                <w:sz w:val="20"/>
                <w:szCs w:val="20"/>
                <w:lang w:val="en-US"/>
              </w:rPr>
              <w:t xml:space="preserve"> </w:t>
            </w:r>
            <w:proofErr w:type="spellStart"/>
            <w:r>
              <w:rPr>
                <w:rFonts w:ascii="Calibri" w:hAnsi="Calibri" w:cs="Calibri"/>
                <w:b/>
                <w:bCs/>
                <w:sz w:val="20"/>
                <w:szCs w:val="20"/>
                <w:lang w:val="en-US"/>
              </w:rPr>
              <w:t>nepieciešamās</w:t>
            </w:r>
            <w:proofErr w:type="spellEnd"/>
            <w:r>
              <w:rPr>
                <w:rFonts w:ascii="Calibri" w:hAnsi="Calibri" w:cs="Calibri"/>
                <w:b/>
                <w:bCs/>
                <w:sz w:val="20"/>
                <w:szCs w:val="20"/>
                <w:lang w:val="en-US"/>
              </w:rPr>
              <w:t xml:space="preserve"> </w:t>
            </w:r>
            <w:proofErr w:type="spellStart"/>
            <w:r>
              <w:rPr>
                <w:rFonts w:ascii="Calibri" w:hAnsi="Calibri" w:cs="Calibri"/>
                <w:b/>
                <w:bCs/>
                <w:sz w:val="20"/>
                <w:szCs w:val="20"/>
                <w:lang w:val="en-US"/>
              </w:rPr>
              <w:t>iemaksas</w:t>
            </w:r>
            <w:proofErr w:type="spellEnd"/>
            <w:r>
              <w:rPr>
                <w:rFonts w:ascii="Calibri" w:hAnsi="Calibri" w:cs="Calibri"/>
                <w:b/>
                <w:bCs/>
                <w:sz w:val="20"/>
                <w:szCs w:val="20"/>
                <w:lang w:val="en-US"/>
              </w:rPr>
              <w:t xml:space="preserve"> “ESPON 2030” </w:t>
            </w:r>
            <w:proofErr w:type="spellStart"/>
            <w:r>
              <w:rPr>
                <w:rFonts w:ascii="Calibri" w:hAnsi="Calibri" w:cs="Calibri"/>
                <w:b/>
                <w:bCs/>
                <w:sz w:val="20"/>
                <w:szCs w:val="20"/>
                <w:lang w:val="en-US"/>
              </w:rPr>
              <w:t>programmas</w:t>
            </w:r>
            <w:proofErr w:type="spellEnd"/>
            <w:r>
              <w:rPr>
                <w:rFonts w:ascii="Calibri" w:hAnsi="Calibri" w:cs="Calibri"/>
                <w:b/>
                <w:bCs/>
                <w:sz w:val="20"/>
                <w:szCs w:val="20"/>
                <w:lang w:val="en-US"/>
              </w:rPr>
              <w:t xml:space="preserve"> </w:t>
            </w:r>
            <w:proofErr w:type="spellStart"/>
            <w:r>
              <w:rPr>
                <w:rFonts w:ascii="Calibri" w:hAnsi="Calibri" w:cs="Calibri"/>
                <w:b/>
                <w:bCs/>
                <w:sz w:val="20"/>
                <w:szCs w:val="20"/>
                <w:lang w:val="en-US"/>
              </w:rPr>
              <w:t>Atbildības</w:t>
            </w:r>
            <w:proofErr w:type="spellEnd"/>
            <w:r>
              <w:rPr>
                <w:rFonts w:ascii="Calibri" w:hAnsi="Calibri" w:cs="Calibri"/>
                <w:b/>
                <w:bCs/>
                <w:sz w:val="20"/>
                <w:szCs w:val="20"/>
                <w:lang w:val="en-US"/>
              </w:rPr>
              <w:t xml:space="preserve"> </w:t>
            </w:r>
            <w:proofErr w:type="spellStart"/>
            <w:r>
              <w:rPr>
                <w:rFonts w:ascii="Calibri" w:hAnsi="Calibri" w:cs="Calibri"/>
                <w:b/>
                <w:bCs/>
                <w:sz w:val="20"/>
                <w:szCs w:val="20"/>
                <w:lang w:val="en-US"/>
              </w:rPr>
              <w:t>mehānismā</w:t>
            </w:r>
            <w:proofErr w:type="spellEnd"/>
          </w:p>
        </w:tc>
        <w:tc>
          <w:tcPr>
            <w:tcW w:w="2283" w:type="dxa"/>
            <w:tcBorders>
              <w:top w:val="nil"/>
              <w:left w:val="single" w:sz="4" w:space="0" w:color="auto"/>
              <w:bottom w:val="single" w:sz="4" w:space="0" w:color="auto"/>
              <w:right w:val="single" w:sz="4" w:space="0" w:color="auto"/>
            </w:tcBorders>
            <w:shd w:val="clear" w:color="000000" w:fill="FFFFFF"/>
            <w:vAlign w:val="center"/>
            <w:hideMark/>
          </w:tcPr>
          <w:p w14:paraId="4701583F" w14:textId="3722A9EB" w:rsidR="00CF5E67" w:rsidRPr="00441CF8" w:rsidRDefault="00CF5E67" w:rsidP="00D7728D">
            <w:pPr>
              <w:spacing w:after="0" w:line="240" w:lineRule="auto"/>
              <w:jc w:val="center"/>
              <w:rPr>
                <w:rFonts w:ascii="Calibri" w:hAnsi="Calibri" w:cs="Calibri"/>
                <w:b/>
                <w:bCs/>
                <w:sz w:val="20"/>
                <w:szCs w:val="20"/>
                <w:lang w:val="en-US"/>
              </w:rPr>
            </w:pPr>
            <w:proofErr w:type="spellStart"/>
            <w:r>
              <w:rPr>
                <w:rFonts w:ascii="Calibri" w:hAnsi="Calibri" w:cs="Calibri"/>
                <w:b/>
                <w:bCs/>
                <w:sz w:val="20"/>
                <w:szCs w:val="20"/>
                <w:lang w:val="en-US"/>
              </w:rPr>
              <w:t>Neizmantotā</w:t>
            </w:r>
            <w:proofErr w:type="spellEnd"/>
            <w:r>
              <w:rPr>
                <w:rFonts w:ascii="Calibri" w:hAnsi="Calibri" w:cs="Calibri"/>
                <w:b/>
                <w:bCs/>
                <w:sz w:val="20"/>
                <w:szCs w:val="20"/>
                <w:lang w:val="en-US"/>
              </w:rPr>
              <w:t xml:space="preserve"> </w:t>
            </w:r>
            <w:proofErr w:type="spellStart"/>
            <w:r>
              <w:rPr>
                <w:rFonts w:ascii="Calibri" w:hAnsi="Calibri" w:cs="Calibri"/>
                <w:b/>
                <w:bCs/>
                <w:sz w:val="20"/>
                <w:szCs w:val="20"/>
                <w:lang w:val="en-US"/>
              </w:rPr>
              <w:t>iemaksu</w:t>
            </w:r>
            <w:proofErr w:type="spellEnd"/>
            <w:r>
              <w:rPr>
                <w:rFonts w:ascii="Calibri" w:hAnsi="Calibri" w:cs="Calibri"/>
                <w:b/>
                <w:bCs/>
                <w:sz w:val="20"/>
                <w:szCs w:val="20"/>
                <w:lang w:val="en-US"/>
              </w:rPr>
              <w:t xml:space="preserve"> </w:t>
            </w:r>
            <w:proofErr w:type="spellStart"/>
            <w:r>
              <w:rPr>
                <w:rFonts w:ascii="Calibri" w:hAnsi="Calibri" w:cs="Calibri"/>
                <w:b/>
                <w:bCs/>
                <w:sz w:val="20"/>
                <w:szCs w:val="20"/>
                <w:lang w:val="en-US"/>
              </w:rPr>
              <w:t>daļa</w:t>
            </w:r>
            <w:proofErr w:type="spellEnd"/>
            <w:r>
              <w:rPr>
                <w:rFonts w:ascii="Calibri" w:hAnsi="Calibri" w:cs="Calibri"/>
                <w:b/>
                <w:bCs/>
                <w:sz w:val="20"/>
                <w:szCs w:val="20"/>
                <w:lang w:val="en-US"/>
              </w:rPr>
              <w:t xml:space="preserve"> “ESPON 2020” </w:t>
            </w:r>
            <w:proofErr w:type="spellStart"/>
            <w:r>
              <w:rPr>
                <w:rFonts w:ascii="Calibri" w:hAnsi="Calibri" w:cs="Calibri"/>
                <w:b/>
                <w:bCs/>
                <w:sz w:val="20"/>
                <w:szCs w:val="20"/>
                <w:lang w:val="en-US"/>
              </w:rPr>
              <w:t>programmas</w:t>
            </w:r>
            <w:proofErr w:type="spellEnd"/>
            <w:r>
              <w:rPr>
                <w:rFonts w:ascii="Calibri" w:hAnsi="Calibri" w:cs="Calibri"/>
                <w:b/>
                <w:bCs/>
                <w:sz w:val="20"/>
                <w:szCs w:val="20"/>
                <w:lang w:val="en-US"/>
              </w:rPr>
              <w:t xml:space="preserve"> </w:t>
            </w:r>
            <w:proofErr w:type="spellStart"/>
            <w:r>
              <w:rPr>
                <w:rFonts w:ascii="Calibri" w:hAnsi="Calibri" w:cs="Calibri"/>
                <w:b/>
                <w:bCs/>
                <w:sz w:val="20"/>
                <w:szCs w:val="20"/>
                <w:lang w:val="en-US"/>
              </w:rPr>
              <w:t>Atbildības</w:t>
            </w:r>
            <w:proofErr w:type="spellEnd"/>
            <w:r>
              <w:rPr>
                <w:rFonts w:ascii="Calibri" w:hAnsi="Calibri" w:cs="Calibri"/>
                <w:b/>
                <w:bCs/>
                <w:sz w:val="20"/>
                <w:szCs w:val="20"/>
                <w:lang w:val="en-US"/>
              </w:rPr>
              <w:t xml:space="preserve"> </w:t>
            </w:r>
            <w:proofErr w:type="spellStart"/>
            <w:r>
              <w:rPr>
                <w:rFonts w:ascii="Calibri" w:hAnsi="Calibri" w:cs="Calibri"/>
                <w:b/>
                <w:bCs/>
                <w:sz w:val="20"/>
                <w:szCs w:val="20"/>
                <w:lang w:val="en-US"/>
              </w:rPr>
              <w:t>mehānismā</w:t>
            </w:r>
            <w:proofErr w:type="spellEnd"/>
            <w:r w:rsidRPr="00441CF8">
              <w:rPr>
                <w:rFonts w:ascii="Calibri" w:hAnsi="Calibri" w:cs="Calibri"/>
                <w:b/>
                <w:bCs/>
                <w:sz w:val="20"/>
                <w:szCs w:val="20"/>
                <w:lang w:val="en-US"/>
              </w:rPr>
              <w:t xml:space="preserve"> </w:t>
            </w:r>
          </w:p>
        </w:tc>
        <w:tc>
          <w:tcPr>
            <w:tcW w:w="2070" w:type="dxa"/>
            <w:tcBorders>
              <w:top w:val="nil"/>
              <w:left w:val="single" w:sz="4" w:space="0" w:color="auto"/>
              <w:bottom w:val="single" w:sz="4" w:space="0" w:color="auto"/>
              <w:right w:val="single" w:sz="8" w:space="0" w:color="auto"/>
            </w:tcBorders>
            <w:shd w:val="clear" w:color="000000" w:fill="FFFFFF"/>
            <w:vAlign w:val="center"/>
            <w:hideMark/>
          </w:tcPr>
          <w:p w14:paraId="19A347D3" w14:textId="77777777" w:rsidR="00CF5E67" w:rsidRPr="00441CF8" w:rsidRDefault="00CF5E67" w:rsidP="00D7728D">
            <w:pPr>
              <w:spacing w:after="0" w:line="240" w:lineRule="auto"/>
              <w:jc w:val="center"/>
              <w:rPr>
                <w:rFonts w:ascii="Calibri" w:hAnsi="Calibri" w:cs="Calibri"/>
                <w:b/>
                <w:bCs/>
                <w:sz w:val="20"/>
                <w:szCs w:val="20"/>
                <w:lang w:val="en-US"/>
              </w:rPr>
            </w:pPr>
            <w:proofErr w:type="spellStart"/>
            <w:r>
              <w:rPr>
                <w:rFonts w:ascii="Calibri" w:hAnsi="Calibri" w:cs="Calibri"/>
                <w:b/>
                <w:bCs/>
                <w:sz w:val="20"/>
                <w:szCs w:val="20"/>
                <w:lang w:val="en-US"/>
              </w:rPr>
              <w:t>Atlikusī</w:t>
            </w:r>
            <w:proofErr w:type="spellEnd"/>
            <w:r>
              <w:rPr>
                <w:rFonts w:ascii="Calibri" w:hAnsi="Calibri" w:cs="Calibri"/>
                <w:b/>
                <w:bCs/>
                <w:sz w:val="20"/>
                <w:szCs w:val="20"/>
                <w:lang w:val="en-US"/>
              </w:rPr>
              <w:t xml:space="preserve"> </w:t>
            </w:r>
            <w:proofErr w:type="spellStart"/>
            <w:r>
              <w:rPr>
                <w:rFonts w:ascii="Calibri" w:hAnsi="Calibri" w:cs="Calibri"/>
                <w:b/>
                <w:bCs/>
                <w:sz w:val="20"/>
                <w:szCs w:val="20"/>
                <w:lang w:val="en-US"/>
              </w:rPr>
              <w:t>iemaksa</w:t>
            </w:r>
            <w:proofErr w:type="spellEnd"/>
            <w:r>
              <w:rPr>
                <w:rFonts w:ascii="Calibri" w:hAnsi="Calibri" w:cs="Calibri"/>
                <w:b/>
                <w:bCs/>
                <w:sz w:val="20"/>
                <w:szCs w:val="20"/>
                <w:lang w:val="en-US"/>
              </w:rPr>
              <w:t xml:space="preserve">, kas var </w:t>
            </w:r>
            <w:proofErr w:type="spellStart"/>
            <w:r>
              <w:rPr>
                <w:rFonts w:ascii="Calibri" w:hAnsi="Calibri" w:cs="Calibri"/>
                <w:b/>
                <w:bCs/>
                <w:sz w:val="20"/>
                <w:szCs w:val="20"/>
                <w:lang w:val="en-US"/>
              </w:rPr>
              <w:t>tikt</w:t>
            </w:r>
            <w:proofErr w:type="spellEnd"/>
            <w:r>
              <w:rPr>
                <w:rFonts w:ascii="Calibri" w:hAnsi="Calibri" w:cs="Calibri"/>
                <w:b/>
                <w:bCs/>
                <w:sz w:val="20"/>
                <w:szCs w:val="20"/>
                <w:lang w:val="en-US"/>
              </w:rPr>
              <w:t xml:space="preserve"> </w:t>
            </w:r>
            <w:proofErr w:type="spellStart"/>
            <w:r>
              <w:rPr>
                <w:rFonts w:ascii="Calibri" w:hAnsi="Calibri" w:cs="Calibri"/>
                <w:b/>
                <w:bCs/>
                <w:sz w:val="20"/>
                <w:szCs w:val="20"/>
                <w:lang w:val="en-US"/>
              </w:rPr>
              <w:t>pieprasīta</w:t>
            </w:r>
            <w:proofErr w:type="spellEnd"/>
            <w:r>
              <w:rPr>
                <w:rFonts w:ascii="Calibri" w:hAnsi="Calibri" w:cs="Calibri"/>
                <w:b/>
                <w:bCs/>
                <w:sz w:val="20"/>
                <w:szCs w:val="20"/>
                <w:lang w:val="en-US"/>
              </w:rPr>
              <w:t xml:space="preserve"> </w:t>
            </w:r>
            <w:proofErr w:type="spellStart"/>
            <w:r>
              <w:rPr>
                <w:rFonts w:ascii="Calibri" w:hAnsi="Calibri" w:cs="Calibri"/>
                <w:b/>
                <w:bCs/>
                <w:sz w:val="20"/>
                <w:szCs w:val="20"/>
                <w:lang w:val="en-US"/>
              </w:rPr>
              <w:t>pēc</w:t>
            </w:r>
            <w:proofErr w:type="spellEnd"/>
            <w:r>
              <w:rPr>
                <w:rFonts w:ascii="Calibri" w:hAnsi="Calibri" w:cs="Calibri"/>
                <w:b/>
                <w:bCs/>
                <w:sz w:val="20"/>
                <w:szCs w:val="20"/>
                <w:lang w:val="en-US"/>
              </w:rPr>
              <w:t xml:space="preserve"> </w:t>
            </w:r>
            <w:proofErr w:type="spellStart"/>
            <w:r>
              <w:rPr>
                <w:rFonts w:ascii="Calibri" w:hAnsi="Calibri" w:cs="Calibri"/>
                <w:b/>
                <w:bCs/>
                <w:sz w:val="20"/>
                <w:szCs w:val="20"/>
                <w:lang w:val="en-US"/>
              </w:rPr>
              <w:t>vajadzības</w:t>
            </w:r>
            <w:proofErr w:type="spellEnd"/>
            <w:r w:rsidRPr="00441CF8">
              <w:rPr>
                <w:rFonts w:ascii="Calibri" w:hAnsi="Calibri" w:cs="Calibri"/>
                <w:b/>
                <w:bCs/>
                <w:sz w:val="20"/>
                <w:szCs w:val="20"/>
                <w:lang w:val="en-US"/>
              </w:rPr>
              <w:t xml:space="preserve"> </w:t>
            </w:r>
          </w:p>
        </w:tc>
      </w:tr>
      <w:tr w:rsidR="00CF5E67" w:rsidRPr="00467CFB" w14:paraId="5B5C6553"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tcPr>
          <w:p w14:paraId="34C1637B" w14:textId="77777777" w:rsidR="00CF5E67" w:rsidRPr="00467CFB" w:rsidRDefault="00CF5E67" w:rsidP="00D7728D">
            <w:pPr>
              <w:spacing w:after="0" w:line="240" w:lineRule="auto"/>
              <w:jc w:val="center"/>
              <w:rPr>
                <w:rFonts w:ascii="Calibri" w:hAnsi="Calibri" w:cs="Calibri"/>
                <w:b/>
                <w:bCs/>
                <w:sz w:val="20"/>
                <w:szCs w:val="20"/>
                <w:lang w:val="en-US"/>
              </w:rPr>
            </w:pPr>
            <w:r w:rsidRPr="00467CFB">
              <w:rPr>
                <w:rFonts w:ascii="Calibri" w:hAnsi="Calibri" w:cs="Calibri"/>
                <w:b/>
                <w:bCs/>
                <w:sz w:val="20"/>
                <w:szCs w:val="20"/>
                <w:lang w:val="en-US"/>
              </w:rPr>
              <w:t>(1)</w:t>
            </w:r>
          </w:p>
        </w:tc>
        <w:tc>
          <w:tcPr>
            <w:tcW w:w="1463" w:type="dxa"/>
            <w:tcBorders>
              <w:top w:val="nil"/>
              <w:left w:val="nil"/>
              <w:bottom w:val="single" w:sz="4" w:space="0" w:color="auto"/>
              <w:right w:val="single" w:sz="8" w:space="0" w:color="auto"/>
            </w:tcBorders>
            <w:shd w:val="clear" w:color="auto" w:fill="auto"/>
            <w:noWrap/>
            <w:vAlign w:val="center"/>
          </w:tcPr>
          <w:p w14:paraId="7A122705" w14:textId="77777777" w:rsidR="00CF5E67" w:rsidRPr="00467CFB" w:rsidRDefault="00CF5E67" w:rsidP="00D7728D">
            <w:pPr>
              <w:spacing w:after="0" w:line="240" w:lineRule="auto"/>
              <w:jc w:val="center"/>
              <w:rPr>
                <w:rFonts w:ascii="Calibri" w:hAnsi="Calibri" w:cs="Calibri"/>
                <w:b/>
                <w:sz w:val="20"/>
                <w:szCs w:val="20"/>
                <w:lang w:val="en-US"/>
              </w:rPr>
            </w:pPr>
            <w:r w:rsidRPr="00467CFB">
              <w:rPr>
                <w:rFonts w:ascii="Calibri" w:hAnsi="Calibri" w:cs="Calibri"/>
                <w:b/>
                <w:sz w:val="20"/>
                <w:szCs w:val="20"/>
                <w:lang w:val="en-US"/>
              </w:rPr>
              <w:t>(2)</w:t>
            </w:r>
          </w:p>
        </w:tc>
        <w:tc>
          <w:tcPr>
            <w:tcW w:w="1909" w:type="dxa"/>
            <w:tcBorders>
              <w:top w:val="nil"/>
              <w:left w:val="nil"/>
              <w:bottom w:val="single" w:sz="4" w:space="0" w:color="auto"/>
              <w:right w:val="single" w:sz="4" w:space="0" w:color="auto"/>
            </w:tcBorders>
            <w:shd w:val="clear" w:color="auto" w:fill="auto"/>
            <w:noWrap/>
            <w:vAlign w:val="center"/>
          </w:tcPr>
          <w:p w14:paraId="256FD3A5" w14:textId="77777777" w:rsidR="00CF5E67" w:rsidRPr="00467CFB" w:rsidRDefault="00CF5E67" w:rsidP="00D7728D">
            <w:pPr>
              <w:spacing w:after="0" w:line="240" w:lineRule="auto"/>
              <w:jc w:val="center"/>
              <w:rPr>
                <w:rFonts w:ascii="Calibri" w:hAnsi="Calibri" w:cs="Calibri"/>
                <w:b/>
                <w:sz w:val="20"/>
                <w:szCs w:val="20"/>
                <w:lang w:val="en-US"/>
              </w:rPr>
            </w:pPr>
            <w:r w:rsidRPr="00467CFB">
              <w:rPr>
                <w:rFonts w:ascii="Calibri" w:hAnsi="Calibri" w:cs="Calibri"/>
                <w:b/>
                <w:sz w:val="20"/>
                <w:szCs w:val="20"/>
                <w:lang w:val="en-US"/>
              </w:rPr>
              <w:t>(3)</w:t>
            </w:r>
          </w:p>
        </w:tc>
        <w:tc>
          <w:tcPr>
            <w:tcW w:w="2283" w:type="dxa"/>
            <w:tcBorders>
              <w:top w:val="nil"/>
              <w:left w:val="nil"/>
              <w:bottom w:val="single" w:sz="4" w:space="0" w:color="auto"/>
              <w:right w:val="single" w:sz="4" w:space="0" w:color="auto"/>
            </w:tcBorders>
            <w:shd w:val="clear" w:color="auto" w:fill="auto"/>
            <w:noWrap/>
            <w:vAlign w:val="center"/>
          </w:tcPr>
          <w:p w14:paraId="4E1718EA" w14:textId="77777777" w:rsidR="00CF5E67" w:rsidRPr="00467CFB" w:rsidRDefault="00CF5E67" w:rsidP="00D7728D">
            <w:pPr>
              <w:spacing w:after="0" w:line="240" w:lineRule="auto"/>
              <w:jc w:val="center"/>
              <w:rPr>
                <w:rFonts w:ascii="Calibri" w:hAnsi="Calibri" w:cs="Calibri"/>
                <w:b/>
                <w:sz w:val="20"/>
                <w:szCs w:val="20"/>
                <w:lang w:val="en-US"/>
              </w:rPr>
            </w:pPr>
            <w:r w:rsidRPr="00467CFB">
              <w:rPr>
                <w:rFonts w:ascii="Calibri" w:hAnsi="Calibri" w:cs="Calibri"/>
                <w:b/>
                <w:sz w:val="20"/>
                <w:szCs w:val="20"/>
                <w:lang w:val="en-US"/>
              </w:rPr>
              <w:t>(4)</w:t>
            </w:r>
          </w:p>
        </w:tc>
        <w:tc>
          <w:tcPr>
            <w:tcW w:w="2070" w:type="dxa"/>
            <w:tcBorders>
              <w:top w:val="nil"/>
              <w:left w:val="nil"/>
              <w:bottom w:val="single" w:sz="4" w:space="0" w:color="auto"/>
              <w:right w:val="single" w:sz="8" w:space="0" w:color="auto"/>
            </w:tcBorders>
            <w:shd w:val="clear" w:color="auto" w:fill="auto"/>
            <w:noWrap/>
            <w:vAlign w:val="center"/>
          </w:tcPr>
          <w:p w14:paraId="672396C8" w14:textId="77777777" w:rsidR="00CF5E67" w:rsidRPr="00467CFB" w:rsidRDefault="00CF5E67" w:rsidP="00D7728D">
            <w:pPr>
              <w:spacing w:after="0" w:line="240" w:lineRule="auto"/>
              <w:jc w:val="center"/>
              <w:rPr>
                <w:rFonts w:ascii="Calibri" w:hAnsi="Calibri" w:cs="Calibri"/>
                <w:b/>
                <w:sz w:val="20"/>
                <w:szCs w:val="20"/>
                <w:lang w:val="en-US"/>
              </w:rPr>
            </w:pPr>
            <w:r w:rsidRPr="00467CFB">
              <w:rPr>
                <w:rFonts w:ascii="Calibri" w:hAnsi="Calibri" w:cs="Calibri"/>
                <w:b/>
                <w:sz w:val="20"/>
                <w:szCs w:val="20"/>
                <w:lang w:val="en-US"/>
              </w:rPr>
              <w:t>(5)</w:t>
            </w:r>
          </w:p>
        </w:tc>
      </w:tr>
      <w:tr w:rsidR="00CF5E67" w:rsidRPr="00441CF8" w14:paraId="7F4DCB6C"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02A805DC" w14:textId="77777777" w:rsidR="00CF5E67" w:rsidRPr="00441CF8" w:rsidRDefault="00CF5E67" w:rsidP="00D7728D">
            <w:pPr>
              <w:spacing w:after="0" w:line="240" w:lineRule="auto"/>
              <w:rPr>
                <w:rFonts w:ascii="Calibri" w:hAnsi="Calibri" w:cs="Calibri"/>
                <w:b/>
                <w:bCs/>
                <w:sz w:val="20"/>
                <w:szCs w:val="20"/>
                <w:lang w:val="en-US"/>
              </w:rPr>
            </w:pPr>
            <w:proofErr w:type="spellStart"/>
            <w:r w:rsidRPr="00441CF8">
              <w:rPr>
                <w:rFonts w:ascii="Calibri" w:hAnsi="Calibri" w:cs="Calibri"/>
                <w:b/>
                <w:bCs/>
                <w:sz w:val="20"/>
                <w:szCs w:val="20"/>
                <w:lang w:val="en-US"/>
              </w:rPr>
              <w:t>A</w:t>
            </w:r>
            <w:r>
              <w:rPr>
                <w:rFonts w:ascii="Calibri" w:hAnsi="Calibri" w:cs="Calibri"/>
                <w:b/>
                <w:bCs/>
                <w:sz w:val="20"/>
                <w:szCs w:val="20"/>
                <w:lang w:val="en-US"/>
              </w:rPr>
              <w:t>ustrija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02F58132"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3.43%</w:t>
            </w:r>
          </w:p>
        </w:tc>
        <w:tc>
          <w:tcPr>
            <w:tcW w:w="1909" w:type="dxa"/>
            <w:tcBorders>
              <w:top w:val="nil"/>
              <w:left w:val="nil"/>
              <w:bottom w:val="single" w:sz="4" w:space="0" w:color="auto"/>
              <w:right w:val="single" w:sz="4" w:space="0" w:color="auto"/>
            </w:tcBorders>
            <w:shd w:val="clear" w:color="auto" w:fill="auto"/>
            <w:noWrap/>
            <w:vAlign w:val="center"/>
            <w:hideMark/>
          </w:tcPr>
          <w:p w14:paraId="1F6A1E74"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39 701 €</w:t>
            </w:r>
          </w:p>
        </w:tc>
        <w:tc>
          <w:tcPr>
            <w:tcW w:w="2283" w:type="dxa"/>
            <w:tcBorders>
              <w:top w:val="nil"/>
              <w:left w:val="nil"/>
              <w:bottom w:val="single" w:sz="4" w:space="0" w:color="auto"/>
              <w:right w:val="single" w:sz="4" w:space="0" w:color="auto"/>
            </w:tcBorders>
            <w:shd w:val="clear" w:color="auto" w:fill="auto"/>
            <w:noWrap/>
            <w:vAlign w:val="center"/>
            <w:hideMark/>
          </w:tcPr>
          <w:p w14:paraId="451F16F6"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27 290 €</w:t>
            </w:r>
          </w:p>
        </w:tc>
        <w:tc>
          <w:tcPr>
            <w:tcW w:w="2070" w:type="dxa"/>
            <w:tcBorders>
              <w:top w:val="nil"/>
              <w:left w:val="nil"/>
              <w:bottom w:val="single" w:sz="4" w:space="0" w:color="auto"/>
              <w:right w:val="single" w:sz="8" w:space="0" w:color="auto"/>
            </w:tcBorders>
            <w:shd w:val="clear" w:color="auto" w:fill="auto"/>
            <w:noWrap/>
            <w:vAlign w:val="center"/>
            <w:hideMark/>
          </w:tcPr>
          <w:p w14:paraId="54C0B0DC"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12 411 €</w:t>
            </w:r>
          </w:p>
        </w:tc>
      </w:tr>
      <w:tr w:rsidR="00CF5E67" w:rsidRPr="00441CF8" w14:paraId="623E0F95"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6681F6D4" w14:textId="77777777" w:rsidR="00CF5E67" w:rsidRPr="00441CF8" w:rsidRDefault="00CF5E67" w:rsidP="00D7728D">
            <w:pPr>
              <w:spacing w:after="0" w:line="240" w:lineRule="auto"/>
              <w:rPr>
                <w:rFonts w:ascii="Calibri" w:hAnsi="Calibri" w:cs="Calibri"/>
                <w:b/>
                <w:bCs/>
                <w:sz w:val="20"/>
                <w:szCs w:val="20"/>
                <w:lang w:val="en-US"/>
              </w:rPr>
            </w:pPr>
            <w:proofErr w:type="spellStart"/>
            <w:r w:rsidRPr="00441CF8">
              <w:rPr>
                <w:rFonts w:ascii="Calibri" w:hAnsi="Calibri" w:cs="Calibri"/>
                <w:b/>
                <w:bCs/>
                <w:sz w:val="20"/>
                <w:szCs w:val="20"/>
                <w:lang w:val="en-US"/>
              </w:rPr>
              <w:t>Be</w:t>
            </w:r>
            <w:r>
              <w:rPr>
                <w:rFonts w:ascii="Calibri" w:hAnsi="Calibri" w:cs="Calibri"/>
                <w:b/>
                <w:bCs/>
                <w:sz w:val="20"/>
                <w:szCs w:val="20"/>
                <w:lang w:val="en-US"/>
              </w:rPr>
              <w:t>ļģija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22E701F4"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3.65%</w:t>
            </w:r>
          </w:p>
        </w:tc>
        <w:tc>
          <w:tcPr>
            <w:tcW w:w="1909" w:type="dxa"/>
            <w:tcBorders>
              <w:top w:val="nil"/>
              <w:left w:val="nil"/>
              <w:bottom w:val="single" w:sz="4" w:space="0" w:color="auto"/>
              <w:right w:val="single" w:sz="4" w:space="0" w:color="auto"/>
            </w:tcBorders>
            <w:shd w:val="clear" w:color="auto" w:fill="auto"/>
            <w:noWrap/>
            <w:vAlign w:val="center"/>
            <w:hideMark/>
          </w:tcPr>
          <w:p w14:paraId="1342A670"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42 297 €</w:t>
            </w:r>
          </w:p>
        </w:tc>
        <w:tc>
          <w:tcPr>
            <w:tcW w:w="2283" w:type="dxa"/>
            <w:tcBorders>
              <w:top w:val="nil"/>
              <w:left w:val="nil"/>
              <w:bottom w:val="single" w:sz="4" w:space="0" w:color="auto"/>
              <w:right w:val="single" w:sz="4" w:space="0" w:color="auto"/>
            </w:tcBorders>
            <w:shd w:val="clear" w:color="auto" w:fill="auto"/>
            <w:noWrap/>
            <w:vAlign w:val="center"/>
            <w:hideMark/>
          </w:tcPr>
          <w:p w14:paraId="7EF7E462"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28 868 €</w:t>
            </w:r>
          </w:p>
        </w:tc>
        <w:tc>
          <w:tcPr>
            <w:tcW w:w="2070" w:type="dxa"/>
            <w:tcBorders>
              <w:top w:val="nil"/>
              <w:left w:val="nil"/>
              <w:bottom w:val="single" w:sz="4" w:space="0" w:color="auto"/>
              <w:right w:val="single" w:sz="8" w:space="0" w:color="auto"/>
            </w:tcBorders>
            <w:shd w:val="clear" w:color="auto" w:fill="auto"/>
            <w:noWrap/>
            <w:vAlign w:val="center"/>
            <w:hideMark/>
          </w:tcPr>
          <w:p w14:paraId="070191AB"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13 428 €</w:t>
            </w:r>
          </w:p>
        </w:tc>
      </w:tr>
      <w:tr w:rsidR="00CF5E67" w:rsidRPr="00441CF8" w14:paraId="46874241" w14:textId="77777777" w:rsidTr="00D7728D">
        <w:trPr>
          <w:trHeight w:val="249"/>
        </w:trPr>
        <w:tc>
          <w:tcPr>
            <w:tcW w:w="1284" w:type="dxa"/>
            <w:tcBorders>
              <w:top w:val="nil"/>
              <w:left w:val="single" w:sz="8" w:space="0" w:color="auto"/>
              <w:bottom w:val="nil"/>
              <w:right w:val="single" w:sz="4" w:space="0" w:color="auto"/>
            </w:tcBorders>
            <w:shd w:val="clear" w:color="auto" w:fill="auto"/>
            <w:noWrap/>
            <w:vAlign w:val="center"/>
            <w:hideMark/>
          </w:tcPr>
          <w:p w14:paraId="01E8A565" w14:textId="77777777" w:rsidR="00CF5E67" w:rsidRPr="00441CF8" w:rsidRDefault="00CF5E67" w:rsidP="00D7728D">
            <w:pPr>
              <w:spacing w:after="0" w:line="240" w:lineRule="auto"/>
              <w:rPr>
                <w:rFonts w:ascii="Calibri" w:hAnsi="Calibri" w:cs="Calibri"/>
                <w:b/>
                <w:bCs/>
                <w:sz w:val="20"/>
                <w:szCs w:val="20"/>
                <w:lang w:val="en-US"/>
              </w:rPr>
            </w:pPr>
            <w:proofErr w:type="spellStart"/>
            <w:r w:rsidRPr="00441CF8">
              <w:rPr>
                <w:rFonts w:ascii="Calibri" w:hAnsi="Calibri" w:cs="Calibri"/>
                <w:b/>
                <w:bCs/>
                <w:sz w:val="20"/>
                <w:szCs w:val="20"/>
                <w:lang w:val="en-US"/>
              </w:rPr>
              <w:t>Bulg</w:t>
            </w:r>
            <w:r>
              <w:rPr>
                <w:rFonts w:ascii="Calibri" w:hAnsi="Calibri" w:cs="Calibri"/>
                <w:b/>
                <w:bCs/>
                <w:sz w:val="20"/>
                <w:szCs w:val="20"/>
                <w:lang w:val="en-US"/>
              </w:rPr>
              <w:t>ārija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551DB422"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2.59%</w:t>
            </w:r>
          </w:p>
        </w:tc>
        <w:tc>
          <w:tcPr>
            <w:tcW w:w="1909" w:type="dxa"/>
            <w:tcBorders>
              <w:top w:val="nil"/>
              <w:left w:val="nil"/>
              <w:bottom w:val="single" w:sz="4" w:space="0" w:color="auto"/>
              <w:right w:val="single" w:sz="4" w:space="0" w:color="auto"/>
            </w:tcBorders>
            <w:shd w:val="clear" w:color="auto" w:fill="auto"/>
            <w:noWrap/>
            <w:vAlign w:val="center"/>
            <w:hideMark/>
          </w:tcPr>
          <w:p w14:paraId="6F946F24"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30 048 €</w:t>
            </w:r>
          </w:p>
        </w:tc>
        <w:tc>
          <w:tcPr>
            <w:tcW w:w="2283" w:type="dxa"/>
            <w:tcBorders>
              <w:top w:val="nil"/>
              <w:left w:val="nil"/>
              <w:bottom w:val="single" w:sz="4" w:space="0" w:color="auto"/>
              <w:right w:val="single" w:sz="4" w:space="0" w:color="auto"/>
            </w:tcBorders>
            <w:shd w:val="clear" w:color="auto" w:fill="auto"/>
            <w:noWrap/>
            <w:vAlign w:val="center"/>
            <w:hideMark/>
          </w:tcPr>
          <w:p w14:paraId="2C78B369"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21 126 €</w:t>
            </w:r>
          </w:p>
        </w:tc>
        <w:tc>
          <w:tcPr>
            <w:tcW w:w="2070" w:type="dxa"/>
            <w:tcBorders>
              <w:top w:val="nil"/>
              <w:left w:val="nil"/>
              <w:bottom w:val="single" w:sz="4" w:space="0" w:color="auto"/>
              <w:right w:val="single" w:sz="8" w:space="0" w:color="auto"/>
            </w:tcBorders>
            <w:shd w:val="clear" w:color="auto" w:fill="auto"/>
            <w:noWrap/>
            <w:vAlign w:val="center"/>
            <w:hideMark/>
          </w:tcPr>
          <w:p w14:paraId="2D879C63"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8 922 €</w:t>
            </w:r>
          </w:p>
        </w:tc>
      </w:tr>
      <w:tr w:rsidR="00CF5E67" w:rsidRPr="00441CF8" w14:paraId="71046AB1" w14:textId="77777777" w:rsidTr="00D7728D">
        <w:trPr>
          <w:trHeight w:val="249"/>
        </w:trPr>
        <w:tc>
          <w:tcPr>
            <w:tcW w:w="128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E058B9B" w14:textId="77777777" w:rsidR="00CF5E67" w:rsidRPr="00441CF8" w:rsidRDefault="00CF5E67" w:rsidP="00D7728D">
            <w:pPr>
              <w:spacing w:after="0" w:line="240" w:lineRule="auto"/>
              <w:rPr>
                <w:rFonts w:ascii="Calibri" w:hAnsi="Calibri" w:cs="Calibri"/>
                <w:b/>
                <w:bCs/>
                <w:sz w:val="20"/>
                <w:szCs w:val="20"/>
                <w:lang w:val="en-US"/>
              </w:rPr>
            </w:pPr>
            <w:proofErr w:type="spellStart"/>
            <w:r>
              <w:rPr>
                <w:rFonts w:ascii="Calibri" w:hAnsi="Calibri" w:cs="Calibri"/>
                <w:b/>
                <w:bCs/>
                <w:sz w:val="20"/>
                <w:szCs w:val="20"/>
                <w:lang w:val="en-US"/>
              </w:rPr>
              <w:t>Horvātija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45C9AAE6"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2.58%</w:t>
            </w:r>
          </w:p>
        </w:tc>
        <w:tc>
          <w:tcPr>
            <w:tcW w:w="1909" w:type="dxa"/>
            <w:tcBorders>
              <w:top w:val="nil"/>
              <w:left w:val="nil"/>
              <w:bottom w:val="single" w:sz="4" w:space="0" w:color="auto"/>
              <w:right w:val="single" w:sz="4" w:space="0" w:color="auto"/>
            </w:tcBorders>
            <w:shd w:val="clear" w:color="auto" w:fill="auto"/>
            <w:noWrap/>
            <w:vAlign w:val="center"/>
            <w:hideMark/>
          </w:tcPr>
          <w:p w14:paraId="64AE217A"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29 932 €</w:t>
            </w:r>
          </w:p>
        </w:tc>
        <w:tc>
          <w:tcPr>
            <w:tcW w:w="2283" w:type="dxa"/>
            <w:tcBorders>
              <w:top w:val="nil"/>
              <w:left w:val="nil"/>
              <w:bottom w:val="single" w:sz="4" w:space="0" w:color="auto"/>
              <w:right w:val="single" w:sz="4" w:space="0" w:color="auto"/>
            </w:tcBorders>
            <w:shd w:val="clear" w:color="auto" w:fill="auto"/>
            <w:noWrap/>
            <w:vAlign w:val="center"/>
            <w:hideMark/>
          </w:tcPr>
          <w:p w14:paraId="0747430E"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20 877 €</w:t>
            </w:r>
          </w:p>
        </w:tc>
        <w:tc>
          <w:tcPr>
            <w:tcW w:w="2070" w:type="dxa"/>
            <w:tcBorders>
              <w:top w:val="nil"/>
              <w:left w:val="nil"/>
              <w:bottom w:val="single" w:sz="4" w:space="0" w:color="auto"/>
              <w:right w:val="single" w:sz="8" w:space="0" w:color="auto"/>
            </w:tcBorders>
            <w:shd w:val="clear" w:color="auto" w:fill="auto"/>
            <w:noWrap/>
            <w:vAlign w:val="center"/>
            <w:hideMark/>
          </w:tcPr>
          <w:p w14:paraId="53E41B9E"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9 055 €</w:t>
            </w:r>
          </w:p>
        </w:tc>
      </w:tr>
      <w:tr w:rsidR="00CF5E67" w:rsidRPr="00441CF8" w14:paraId="6CC3C5BC"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517DF086" w14:textId="77777777" w:rsidR="00CF5E67" w:rsidRPr="00441CF8" w:rsidRDefault="00CF5E67" w:rsidP="00D7728D">
            <w:pPr>
              <w:spacing w:after="0" w:line="240" w:lineRule="auto"/>
              <w:rPr>
                <w:rFonts w:ascii="Calibri" w:hAnsi="Calibri" w:cs="Calibri"/>
                <w:b/>
                <w:bCs/>
                <w:sz w:val="20"/>
                <w:szCs w:val="20"/>
                <w:lang w:val="en-US"/>
              </w:rPr>
            </w:pPr>
            <w:proofErr w:type="spellStart"/>
            <w:r>
              <w:rPr>
                <w:rFonts w:ascii="Calibri" w:hAnsi="Calibri" w:cs="Calibri"/>
                <w:b/>
                <w:bCs/>
                <w:sz w:val="20"/>
                <w:szCs w:val="20"/>
                <w:lang w:val="en-US"/>
              </w:rPr>
              <w:t>Kipra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678137FE"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2.50%</w:t>
            </w:r>
          </w:p>
        </w:tc>
        <w:tc>
          <w:tcPr>
            <w:tcW w:w="1909" w:type="dxa"/>
            <w:tcBorders>
              <w:top w:val="nil"/>
              <w:left w:val="nil"/>
              <w:bottom w:val="single" w:sz="4" w:space="0" w:color="auto"/>
              <w:right w:val="single" w:sz="4" w:space="0" w:color="auto"/>
            </w:tcBorders>
            <w:shd w:val="clear" w:color="auto" w:fill="auto"/>
            <w:noWrap/>
            <w:vAlign w:val="center"/>
            <w:hideMark/>
          </w:tcPr>
          <w:p w14:paraId="634DFA04"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28 959 €</w:t>
            </w:r>
          </w:p>
        </w:tc>
        <w:tc>
          <w:tcPr>
            <w:tcW w:w="2283" w:type="dxa"/>
            <w:tcBorders>
              <w:top w:val="nil"/>
              <w:left w:val="nil"/>
              <w:bottom w:val="single" w:sz="4" w:space="0" w:color="auto"/>
              <w:right w:val="single" w:sz="4" w:space="0" w:color="auto"/>
            </w:tcBorders>
            <w:shd w:val="clear" w:color="auto" w:fill="auto"/>
            <w:noWrap/>
            <w:vAlign w:val="center"/>
            <w:hideMark/>
          </w:tcPr>
          <w:p w14:paraId="417D5720"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15 952 €</w:t>
            </w:r>
          </w:p>
        </w:tc>
        <w:tc>
          <w:tcPr>
            <w:tcW w:w="2070" w:type="dxa"/>
            <w:tcBorders>
              <w:top w:val="nil"/>
              <w:left w:val="nil"/>
              <w:bottom w:val="single" w:sz="4" w:space="0" w:color="auto"/>
              <w:right w:val="single" w:sz="8" w:space="0" w:color="auto"/>
            </w:tcBorders>
            <w:shd w:val="clear" w:color="auto" w:fill="auto"/>
            <w:noWrap/>
            <w:vAlign w:val="center"/>
            <w:hideMark/>
          </w:tcPr>
          <w:p w14:paraId="00844124"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13 006 €</w:t>
            </w:r>
          </w:p>
        </w:tc>
      </w:tr>
      <w:tr w:rsidR="00CF5E67" w:rsidRPr="00441CF8" w14:paraId="7C0C86F3"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2D85BE53" w14:textId="77777777" w:rsidR="00CF5E67" w:rsidRPr="00441CF8" w:rsidRDefault="00CF5E67" w:rsidP="00D7728D">
            <w:pPr>
              <w:spacing w:after="0" w:line="240" w:lineRule="auto"/>
              <w:rPr>
                <w:rFonts w:ascii="Calibri" w:hAnsi="Calibri" w:cs="Calibri"/>
                <w:b/>
                <w:bCs/>
                <w:sz w:val="20"/>
                <w:szCs w:val="20"/>
                <w:lang w:val="en-US"/>
              </w:rPr>
            </w:pPr>
            <w:proofErr w:type="spellStart"/>
            <w:r>
              <w:rPr>
                <w:rFonts w:ascii="Calibri" w:hAnsi="Calibri" w:cs="Calibri"/>
                <w:b/>
                <w:bCs/>
                <w:sz w:val="20"/>
                <w:szCs w:val="20"/>
                <w:lang w:val="en-US"/>
              </w:rPr>
              <w:t>Čehija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7EE35349"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2.96%</w:t>
            </w:r>
          </w:p>
        </w:tc>
        <w:tc>
          <w:tcPr>
            <w:tcW w:w="1909" w:type="dxa"/>
            <w:tcBorders>
              <w:top w:val="nil"/>
              <w:left w:val="nil"/>
              <w:bottom w:val="single" w:sz="4" w:space="0" w:color="auto"/>
              <w:right w:val="single" w:sz="4" w:space="0" w:color="auto"/>
            </w:tcBorders>
            <w:shd w:val="clear" w:color="auto" w:fill="auto"/>
            <w:noWrap/>
            <w:vAlign w:val="center"/>
            <w:hideMark/>
          </w:tcPr>
          <w:p w14:paraId="71FF0F41"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34 347 €</w:t>
            </w:r>
          </w:p>
        </w:tc>
        <w:tc>
          <w:tcPr>
            <w:tcW w:w="2283" w:type="dxa"/>
            <w:tcBorders>
              <w:top w:val="nil"/>
              <w:left w:val="nil"/>
              <w:bottom w:val="single" w:sz="4" w:space="0" w:color="auto"/>
              <w:right w:val="single" w:sz="4" w:space="0" w:color="auto"/>
            </w:tcBorders>
            <w:shd w:val="clear" w:color="auto" w:fill="auto"/>
            <w:noWrap/>
            <w:vAlign w:val="center"/>
            <w:hideMark/>
          </w:tcPr>
          <w:p w14:paraId="60F914A4"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22 614 €</w:t>
            </w:r>
          </w:p>
        </w:tc>
        <w:tc>
          <w:tcPr>
            <w:tcW w:w="2070" w:type="dxa"/>
            <w:tcBorders>
              <w:top w:val="nil"/>
              <w:left w:val="nil"/>
              <w:bottom w:val="single" w:sz="4" w:space="0" w:color="auto"/>
              <w:right w:val="single" w:sz="8" w:space="0" w:color="auto"/>
            </w:tcBorders>
            <w:shd w:val="clear" w:color="auto" w:fill="auto"/>
            <w:noWrap/>
            <w:vAlign w:val="center"/>
            <w:hideMark/>
          </w:tcPr>
          <w:p w14:paraId="4E99C44C"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11 733 €</w:t>
            </w:r>
          </w:p>
        </w:tc>
      </w:tr>
      <w:tr w:rsidR="00CF5E67" w:rsidRPr="00441CF8" w14:paraId="7CDAD052"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07A21556" w14:textId="77777777" w:rsidR="00CF5E67" w:rsidRPr="00441CF8" w:rsidRDefault="00CF5E67" w:rsidP="00D7728D">
            <w:pPr>
              <w:spacing w:after="0" w:line="240" w:lineRule="auto"/>
              <w:rPr>
                <w:rFonts w:ascii="Calibri" w:hAnsi="Calibri" w:cs="Calibri"/>
                <w:b/>
                <w:bCs/>
                <w:i/>
                <w:iCs/>
                <w:sz w:val="20"/>
                <w:szCs w:val="20"/>
                <w:lang w:val="en-US"/>
              </w:rPr>
            </w:pPr>
            <w:proofErr w:type="spellStart"/>
            <w:r w:rsidRPr="00C05F5D">
              <w:rPr>
                <w:rFonts w:ascii="Calibri" w:hAnsi="Calibri" w:cs="Calibri"/>
                <w:b/>
                <w:bCs/>
                <w:iCs/>
                <w:sz w:val="20"/>
                <w:szCs w:val="20"/>
                <w:lang w:val="en-US"/>
              </w:rPr>
              <w:t>D</w:t>
            </w:r>
            <w:r>
              <w:rPr>
                <w:rFonts w:ascii="Calibri" w:hAnsi="Calibri" w:cs="Calibri"/>
                <w:b/>
                <w:bCs/>
                <w:iCs/>
                <w:sz w:val="20"/>
                <w:szCs w:val="20"/>
                <w:lang w:val="en-US"/>
              </w:rPr>
              <w:t>ānija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70193DDC"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3.20%</w:t>
            </w:r>
          </w:p>
        </w:tc>
        <w:tc>
          <w:tcPr>
            <w:tcW w:w="1909" w:type="dxa"/>
            <w:tcBorders>
              <w:top w:val="nil"/>
              <w:left w:val="nil"/>
              <w:bottom w:val="single" w:sz="4" w:space="0" w:color="auto"/>
              <w:right w:val="single" w:sz="4" w:space="0" w:color="auto"/>
            </w:tcBorders>
            <w:shd w:val="clear" w:color="auto" w:fill="auto"/>
            <w:noWrap/>
            <w:vAlign w:val="center"/>
            <w:hideMark/>
          </w:tcPr>
          <w:p w14:paraId="136714EA"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37 105 €</w:t>
            </w:r>
          </w:p>
        </w:tc>
        <w:tc>
          <w:tcPr>
            <w:tcW w:w="2283" w:type="dxa"/>
            <w:tcBorders>
              <w:top w:val="nil"/>
              <w:left w:val="nil"/>
              <w:bottom w:val="single" w:sz="4" w:space="0" w:color="auto"/>
              <w:right w:val="single" w:sz="4" w:space="0" w:color="auto"/>
            </w:tcBorders>
            <w:shd w:val="clear" w:color="auto" w:fill="auto"/>
            <w:noWrap/>
            <w:vAlign w:val="center"/>
            <w:hideMark/>
          </w:tcPr>
          <w:p w14:paraId="749A0F60"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26 806 €</w:t>
            </w:r>
          </w:p>
        </w:tc>
        <w:tc>
          <w:tcPr>
            <w:tcW w:w="2070" w:type="dxa"/>
            <w:tcBorders>
              <w:top w:val="nil"/>
              <w:left w:val="nil"/>
              <w:bottom w:val="single" w:sz="4" w:space="0" w:color="auto"/>
              <w:right w:val="single" w:sz="8" w:space="0" w:color="auto"/>
            </w:tcBorders>
            <w:shd w:val="clear" w:color="auto" w:fill="auto"/>
            <w:noWrap/>
            <w:vAlign w:val="center"/>
            <w:hideMark/>
          </w:tcPr>
          <w:p w14:paraId="554CC2D2"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10 299 €</w:t>
            </w:r>
          </w:p>
        </w:tc>
      </w:tr>
      <w:tr w:rsidR="00CF5E67" w:rsidRPr="00441CF8" w14:paraId="678F38F2"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7176D86A" w14:textId="77777777" w:rsidR="00CF5E67" w:rsidRPr="00441CF8" w:rsidRDefault="00CF5E67" w:rsidP="00D7728D">
            <w:pPr>
              <w:spacing w:after="0" w:line="240" w:lineRule="auto"/>
              <w:rPr>
                <w:rFonts w:ascii="Calibri" w:hAnsi="Calibri" w:cs="Calibri"/>
                <w:b/>
                <w:bCs/>
                <w:sz w:val="20"/>
                <w:szCs w:val="20"/>
                <w:lang w:val="en-US"/>
              </w:rPr>
            </w:pPr>
            <w:proofErr w:type="spellStart"/>
            <w:r>
              <w:rPr>
                <w:rFonts w:ascii="Calibri" w:hAnsi="Calibri" w:cs="Calibri"/>
                <w:b/>
                <w:bCs/>
                <w:sz w:val="20"/>
                <w:szCs w:val="20"/>
                <w:lang w:val="en-US"/>
              </w:rPr>
              <w:t>Igaunija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775959CF"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2.51%</w:t>
            </w:r>
          </w:p>
        </w:tc>
        <w:tc>
          <w:tcPr>
            <w:tcW w:w="1909" w:type="dxa"/>
            <w:tcBorders>
              <w:top w:val="nil"/>
              <w:left w:val="nil"/>
              <w:bottom w:val="single" w:sz="4" w:space="0" w:color="auto"/>
              <w:right w:val="single" w:sz="4" w:space="0" w:color="auto"/>
            </w:tcBorders>
            <w:shd w:val="clear" w:color="auto" w:fill="auto"/>
            <w:noWrap/>
            <w:vAlign w:val="center"/>
            <w:hideMark/>
          </w:tcPr>
          <w:p w14:paraId="39D74B6B"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29 109 €</w:t>
            </w:r>
          </w:p>
        </w:tc>
        <w:tc>
          <w:tcPr>
            <w:tcW w:w="2283" w:type="dxa"/>
            <w:tcBorders>
              <w:top w:val="nil"/>
              <w:left w:val="nil"/>
              <w:bottom w:val="single" w:sz="4" w:space="0" w:color="auto"/>
              <w:right w:val="single" w:sz="4" w:space="0" w:color="auto"/>
            </w:tcBorders>
            <w:shd w:val="clear" w:color="auto" w:fill="auto"/>
            <w:noWrap/>
            <w:vAlign w:val="center"/>
            <w:hideMark/>
          </w:tcPr>
          <w:p w14:paraId="13750D08"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15 952 €</w:t>
            </w:r>
          </w:p>
        </w:tc>
        <w:tc>
          <w:tcPr>
            <w:tcW w:w="2070" w:type="dxa"/>
            <w:tcBorders>
              <w:top w:val="nil"/>
              <w:left w:val="nil"/>
              <w:bottom w:val="single" w:sz="4" w:space="0" w:color="auto"/>
              <w:right w:val="single" w:sz="8" w:space="0" w:color="auto"/>
            </w:tcBorders>
            <w:shd w:val="clear" w:color="auto" w:fill="auto"/>
            <w:noWrap/>
            <w:vAlign w:val="center"/>
            <w:hideMark/>
          </w:tcPr>
          <w:p w14:paraId="0C81B87D"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13 157 €</w:t>
            </w:r>
          </w:p>
        </w:tc>
      </w:tr>
      <w:tr w:rsidR="00CF5E67" w:rsidRPr="00441CF8" w14:paraId="0096D7A2"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7C889C30" w14:textId="77777777" w:rsidR="00CF5E67" w:rsidRPr="00441CF8" w:rsidRDefault="00CF5E67" w:rsidP="00D7728D">
            <w:pPr>
              <w:spacing w:after="0" w:line="240" w:lineRule="auto"/>
              <w:rPr>
                <w:rFonts w:ascii="Calibri" w:hAnsi="Calibri" w:cs="Calibri"/>
                <w:b/>
                <w:bCs/>
                <w:sz w:val="20"/>
                <w:szCs w:val="20"/>
                <w:lang w:val="en-US"/>
              </w:rPr>
            </w:pPr>
            <w:proofErr w:type="spellStart"/>
            <w:r>
              <w:rPr>
                <w:rFonts w:ascii="Calibri" w:hAnsi="Calibri" w:cs="Calibri"/>
                <w:b/>
                <w:bCs/>
                <w:sz w:val="20"/>
                <w:szCs w:val="20"/>
                <w:lang w:val="en-US"/>
              </w:rPr>
              <w:t>Somija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1FDCDC71"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3.07%</w:t>
            </w:r>
          </w:p>
        </w:tc>
        <w:tc>
          <w:tcPr>
            <w:tcW w:w="1909" w:type="dxa"/>
            <w:tcBorders>
              <w:top w:val="nil"/>
              <w:left w:val="nil"/>
              <w:bottom w:val="single" w:sz="4" w:space="0" w:color="auto"/>
              <w:right w:val="single" w:sz="4" w:space="0" w:color="auto"/>
            </w:tcBorders>
            <w:shd w:val="clear" w:color="auto" w:fill="auto"/>
            <w:noWrap/>
            <w:vAlign w:val="center"/>
            <w:hideMark/>
          </w:tcPr>
          <w:p w14:paraId="7701B064"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35 518 €</w:t>
            </w:r>
          </w:p>
        </w:tc>
        <w:tc>
          <w:tcPr>
            <w:tcW w:w="2283" w:type="dxa"/>
            <w:tcBorders>
              <w:top w:val="nil"/>
              <w:left w:val="nil"/>
              <w:bottom w:val="single" w:sz="4" w:space="0" w:color="auto"/>
              <w:right w:val="single" w:sz="4" w:space="0" w:color="auto"/>
            </w:tcBorders>
            <w:shd w:val="clear" w:color="auto" w:fill="auto"/>
            <w:noWrap/>
            <w:vAlign w:val="center"/>
            <w:hideMark/>
          </w:tcPr>
          <w:p w14:paraId="16D8E843"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25 953 €</w:t>
            </w:r>
          </w:p>
        </w:tc>
        <w:tc>
          <w:tcPr>
            <w:tcW w:w="2070" w:type="dxa"/>
            <w:tcBorders>
              <w:top w:val="nil"/>
              <w:left w:val="nil"/>
              <w:bottom w:val="single" w:sz="4" w:space="0" w:color="auto"/>
              <w:right w:val="single" w:sz="8" w:space="0" w:color="auto"/>
            </w:tcBorders>
            <w:shd w:val="clear" w:color="auto" w:fill="auto"/>
            <w:noWrap/>
            <w:vAlign w:val="center"/>
            <w:hideMark/>
          </w:tcPr>
          <w:p w14:paraId="1A53169A"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9 565 €</w:t>
            </w:r>
          </w:p>
        </w:tc>
      </w:tr>
      <w:tr w:rsidR="00CF5E67" w:rsidRPr="00441CF8" w14:paraId="295E645A"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35DB127B" w14:textId="77777777" w:rsidR="00CF5E67" w:rsidRPr="00441CF8" w:rsidRDefault="00CF5E67" w:rsidP="00D7728D">
            <w:pPr>
              <w:spacing w:after="0" w:line="240" w:lineRule="auto"/>
              <w:rPr>
                <w:rFonts w:ascii="Calibri" w:hAnsi="Calibri" w:cs="Calibri"/>
                <w:b/>
                <w:bCs/>
                <w:sz w:val="20"/>
                <w:szCs w:val="20"/>
                <w:lang w:val="en-US"/>
              </w:rPr>
            </w:pPr>
            <w:proofErr w:type="spellStart"/>
            <w:r w:rsidRPr="00441CF8">
              <w:rPr>
                <w:rFonts w:ascii="Calibri" w:hAnsi="Calibri" w:cs="Calibri"/>
                <w:b/>
                <w:bCs/>
                <w:sz w:val="20"/>
                <w:szCs w:val="20"/>
                <w:lang w:val="en-US"/>
              </w:rPr>
              <w:t>Fran</w:t>
            </w:r>
            <w:r>
              <w:rPr>
                <w:rFonts w:ascii="Calibri" w:hAnsi="Calibri" w:cs="Calibri"/>
                <w:b/>
                <w:bCs/>
                <w:sz w:val="20"/>
                <w:szCs w:val="20"/>
                <w:lang w:val="en-US"/>
              </w:rPr>
              <w:t>cija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3060CE1B"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8.89%</w:t>
            </w:r>
          </w:p>
        </w:tc>
        <w:tc>
          <w:tcPr>
            <w:tcW w:w="1909" w:type="dxa"/>
            <w:tcBorders>
              <w:top w:val="nil"/>
              <w:left w:val="nil"/>
              <w:bottom w:val="single" w:sz="4" w:space="0" w:color="auto"/>
              <w:right w:val="single" w:sz="4" w:space="0" w:color="auto"/>
            </w:tcBorders>
            <w:shd w:val="clear" w:color="auto" w:fill="auto"/>
            <w:noWrap/>
            <w:vAlign w:val="center"/>
            <w:hideMark/>
          </w:tcPr>
          <w:p w14:paraId="0CCFA373"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102 972 €</w:t>
            </w:r>
          </w:p>
        </w:tc>
        <w:tc>
          <w:tcPr>
            <w:tcW w:w="2283" w:type="dxa"/>
            <w:tcBorders>
              <w:top w:val="nil"/>
              <w:left w:val="nil"/>
              <w:bottom w:val="single" w:sz="4" w:space="0" w:color="auto"/>
              <w:right w:val="single" w:sz="4" w:space="0" w:color="auto"/>
            </w:tcBorders>
            <w:shd w:val="clear" w:color="auto" w:fill="auto"/>
            <w:noWrap/>
            <w:vAlign w:val="center"/>
            <w:hideMark/>
          </w:tcPr>
          <w:p w14:paraId="14BE2AC0"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52 993 €</w:t>
            </w:r>
          </w:p>
        </w:tc>
        <w:tc>
          <w:tcPr>
            <w:tcW w:w="2070" w:type="dxa"/>
            <w:tcBorders>
              <w:top w:val="nil"/>
              <w:left w:val="nil"/>
              <w:bottom w:val="single" w:sz="4" w:space="0" w:color="auto"/>
              <w:right w:val="single" w:sz="8" w:space="0" w:color="auto"/>
            </w:tcBorders>
            <w:shd w:val="clear" w:color="auto" w:fill="auto"/>
            <w:noWrap/>
            <w:vAlign w:val="center"/>
            <w:hideMark/>
          </w:tcPr>
          <w:p w14:paraId="5E7AD586"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49 979 €</w:t>
            </w:r>
          </w:p>
        </w:tc>
      </w:tr>
      <w:tr w:rsidR="00CF5E67" w:rsidRPr="00441CF8" w14:paraId="4B46872C"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253C8F0A" w14:textId="77777777" w:rsidR="00CF5E67" w:rsidRPr="00441CF8" w:rsidRDefault="00CF5E67" w:rsidP="00D7728D">
            <w:pPr>
              <w:spacing w:after="0" w:line="240" w:lineRule="auto"/>
              <w:rPr>
                <w:rFonts w:ascii="Calibri" w:hAnsi="Calibri" w:cs="Calibri"/>
                <w:b/>
                <w:bCs/>
                <w:sz w:val="20"/>
                <w:szCs w:val="20"/>
                <w:lang w:val="en-US"/>
              </w:rPr>
            </w:pPr>
            <w:proofErr w:type="spellStart"/>
            <w:r>
              <w:rPr>
                <w:rFonts w:ascii="Calibri" w:hAnsi="Calibri" w:cs="Calibri"/>
                <w:b/>
                <w:bCs/>
                <w:sz w:val="20"/>
                <w:szCs w:val="20"/>
                <w:lang w:val="en-US"/>
              </w:rPr>
              <w:t>Vācija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1F482AE8"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10.46%</w:t>
            </w:r>
          </w:p>
        </w:tc>
        <w:tc>
          <w:tcPr>
            <w:tcW w:w="1909" w:type="dxa"/>
            <w:tcBorders>
              <w:top w:val="nil"/>
              <w:left w:val="nil"/>
              <w:bottom w:val="single" w:sz="4" w:space="0" w:color="auto"/>
              <w:right w:val="single" w:sz="4" w:space="0" w:color="auto"/>
            </w:tcBorders>
            <w:shd w:val="clear" w:color="auto" w:fill="auto"/>
            <w:noWrap/>
            <w:vAlign w:val="center"/>
            <w:hideMark/>
          </w:tcPr>
          <w:p w14:paraId="2EA2C991"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121 189 €</w:t>
            </w:r>
          </w:p>
        </w:tc>
        <w:tc>
          <w:tcPr>
            <w:tcW w:w="2283" w:type="dxa"/>
            <w:tcBorders>
              <w:top w:val="nil"/>
              <w:left w:val="nil"/>
              <w:bottom w:val="single" w:sz="4" w:space="0" w:color="auto"/>
              <w:right w:val="single" w:sz="4" w:space="0" w:color="auto"/>
            </w:tcBorders>
            <w:shd w:val="clear" w:color="auto" w:fill="auto"/>
            <w:noWrap/>
            <w:vAlign w:val="center"/>
            <w:hideMark/>
          </w:tcPr>
          <w:p w14:paraId="361B9DDD"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57 706 €</w:t>
            </w:r>
          </w:p>
        </w:tc>
        <w:tc>
          <w:tcPr>
            <w:tcW w:w="2070" w:type="dxa"/>
            <w:tcBorders>
              <w:top w:val="nil"/>
              <w:left w:val="nil"/>
              <w:bottom w:val="single" w:sz="4" w:space="0" w:color="auto"/>
              <w:right w:val="single" w:sz="8" w:space="0" w:color="auto"/>
            </w:tcBorders>
            <w:shd w:val="clear" w:color="auto" w:fill="auto"/>
            <w:noWrap/>
            <w:vAlign w:val="center"/>
            <w:hideMark/>
          </w:tcPr>
          <w:p w14:paraId="5C83E71F"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63 482 €</w:t>
            </w:r>
          </w:p>
        </w:tc>
      </w:tr>
      <w:tr w:rsidR="00CF5E67" w:rsidRPr="00441CF8" w14:paraId="222A10EB"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6BBC86F0" w14:textId="77777777" w:rsidR="00CF5E67" w:rsidRPr="00441CF8" w:rsidRDefault="00CF5E67" w:rsidP="00D7728D">
            <w:pPr>
              <w:spacing w:after="0" w:line="240" w:lineRule="auto"/>
              <w:rPr>
                <w:rFonts w:ascii="Calibri" w:hAnsi="Calibri" w:cs="Calibri"/>
                <w:b/>
                <w:bCs/>
                <w:sz w:val="20"/>
                <w:szCs w:val="20"/>
                <w:lang w:val="en-US"/>
              </w:rPr>
            </w:pPr>
            <w:proofErr w:type="spellStart"/>
            <w:r w:rsidRPr="00441CF8">
              <w:rPr>
                <w:rFonts w:ascii="Calibri" w:hAnsi="Calibri" w:cs="Calibri"/>
                <w:b/>
                <w:bCs/>
                <w:sz w:val="20"/>
                <w:szCs w:val="20"/>
                <w:lang w:val="en-US"/>
              </w:rPr>
              <w:t>Gr</w:t>
            </w:r>
            <w:r>
              <w:rPr>
                <w:rFonts w:ascii="Calibri" w:hAnsi="Calibri" w:cs="Calibri"/>
                <w:b/>
                <w:bCs/>
                <w:sz w:val="20"/>
                <w:szCs w:val="20"/>
                <w:lang w:val="en-US"/>
              </w:rPr>
              <w:t>ieķija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3A918ADE"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2.94%</w:t>
            </w:r>
          </w:p>
        </w:tc>
        <w:tc>
          <w:tcPr>
            <w:tcW w:w="1909" w:type="dxa"/>
            <w:tcBorders>
              <w:top w:val="nil"/>
              <w:left w:val="nil"/>
              <w:bottom w:val="single" w:sz="4" w:space="0" w:color="auto"/>
              <w:right w:val="single" w:sz="4" w:space="0" w:color="auto"/>
            </w:tcBorders>
            <w:shd w:val="clear" w:color="auto" w:fill="auto"/>
            <w:noWrap/>
            <w:vAlign w:val="center"/>
            <w:hideMark/>
          </w:tcPr>
          <w:p w14:paraId="7C892CDA"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34 023 €</w:t>
            </w:r>
          </w:p>
        </w:tc>
        <w:tc>
          <w:tcPr>
            <w:tcW w:w="2283" w:type="dxa"/>
            <w:tcBorders>
              <w:top w:val="nil"/>
              <w:left w:val="nil"/>
              <w:bottom w:val="single" w:sz="4" w:space="0" w:color="auto"/>
              <w:right w:val="single" w:sz="4" w:space="0" w:color="auto"/>
            </w:tcBorders>
            <w:shd w:val="clear" w:color="auto" w:fill="auto"/>
            <w:noWrap/>
            <w:vAlign w:val="center"/>
            <w:hideMark/>
          </w:tcPr>
          <w:p w14:paraId="358AAEF7"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26 194 €</w:t>
            </w:r>
          </w:p>
        </w:tc>
        <w:tc>
          <w:tcPr>
            <w:tcW w:w="2070" w:type="dxa"/>
            <w:tcBorders>
              <w:top w:val="nil"/>
              <w:left w:val="nil"/>
              <w:bottom w:val="single" w:sz="4" w:space="0" w:color="auto"/>
              <w:right w:val="single" w:sz="8" w:space="0" w:color="auto"/>
            </w:tcBorders>
            <w:shd w:val="clear" w:color="auto" w:fill="auto"/>
            <w:noWrap/>
            <w:vAlign w:val="center"/>
            <w:hideMark/>
          </w:tcPr>
          <w:p w14:paraId="246718AB"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7 828 €</w:t>
            </w:r>
          </w:p>
        </w:tc>
      </w:tr>
      <w:tr w:rsidR="00CF5E67" w:rsidRPr="00441CF8" w14:paraId="2EE20EEB"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42D7D512" w14:textId="77777777" w:rsidR="00CF5E67" w:rsidRPr="00441CF8" w:rsidRDefault="00CF5E67" w:rsidP="00D7728D">
            <w:pPr>
              <w:spacing w:after="0" w:line="240" w:lineRule="auto"/>
              <w:rPr>
                <w:rFonts w:ascii="Calibri" w:hAnsi="Calibri" w:cs="Calibri"/>
                <w:b/>
                <w:bCs/>
                <w:sz w:val="20"/>
                <w:szCs w:val="20"/>
                <w:lang w:val="en-US"/>
              </w:rPr>
            </w:pPr>
            <w:proofErr w:type="spellStart"/>
            <w:r>
              <w:rPr>
                <w:rFonts w:ascii="Calibri" w:hAnsi="Calibri" w:cs="Calibri"/>
                <w:b/>
                <w:bCs/>
                <w:sz w:val="20"/>
                <w:szCs w:val="20"/>
                <w:lang w:val="en-US"/>
              </w:rPr>
              <w:t>Ungārija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6D15FB3D"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2.79%</w:t>
            </w:r>
          </w:p>
        </w:tc>
        <w:tc>
          <w:tcPr>
            <w:tcW w:w="1909" w:type="dxa"/>
            <w:tcBorders>
              <w:top w:val="nil"/>
              <w:left w:val="nil"/>
              <w:bottom w:val="single" w:sz="4" w:space="0" w:color="auto"/>
              <w:right w:val="single" w:sz="4" w:space="0" w:color="auto"/>
            </w:tcBorders>
            <w:shd w:val="clear" w:color="auto" w:fill="auto"/>
            <w:noWrap/>
            <w:vAlign w:val="center"/>
            <w:hideMark/>
          </w:tcPr>
          <w:p w14:paraId="7F543BFB"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32 354 €</w:t>
            </w:r>
          </w:p>
        </w:tc>
        <w:tc>
          <w:tcPr>
            <w:tcW w:w="2283" w:type="dxa"/>
            <w:tcBorders>
              <w:top w:val="nil"/>
              <w:left w:val="nil"/>
              <w:bottom w:val="single" w:sz="4" w:space="0" w:color="auto"/>
              <w:right w:val="single" w:sz="4" w:space="0" w:color="auto"/>
            </w:tcBorders>
            <w:shd w:val="clear" w:color="auto" w:fill="auto"/>
            <w:noWrap/>
            <w:vAlign w:val="center"/>
            <w:hideMark/>
          </w:tcPr>
          <w:p w14:paraId="5D8E10E1"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19 502 €</w:t>
            </w:r>
          </w:p>
        </w:tc>
        <w:tc>
          <w:tcPr>
            <w:tcW w:w="2070" w:type="dxa"/>
            <w:tcBorders>
              <w:top w:val="nil"/>
              <w:left w:val="nil"/>
              <w:bottom w:val="single" w:sz="4" w:space="0" w:color="auto"/>
              <w:right w:val="single" w:sz="8" w:space="0" w:color="auto"/>
            </w:tcBorders>
            <w:shd w:val="clear" w:color="auto" w:fill="auto"/>
            <w:noWrap/>
            <w:vAlign w:val="center"/>
            <w:hideMark/>
          </w:tcPr>
          <w:p w14:paraId="2E2A7BF4"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12 852 €</w:t>
            </w:r>
          </w:p>
        </w:tc>
      </w:tr>
      <w:tr w:rsidR="00CF5E67" w:rsidRPr="00441CF8" w14:paraId="6B149F7A"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31630797" w14:textId="77777777" w:rsidR="00CF5E67" w:rsidRPr="00441CF8" w:rsidRDefault="00CF5E67" w:rsidP="00D7728D">
            <w:pPr>
              <w:spacing w:after="0" w:line="240" w:lineRule="auto"/>
              <w:rPr>
                <w:rFonts w:ascii="Calibri" w:hAnsi="Calibri" w:cs="Calibri"/>
                <w:b/>
                <w:bCs/>
                <w:sz w:val="20"/>
                <w:szCs w:val="20"/>
                <w:lang w:val="en-US"/>
              </w:rPr>
            </w:pPr>
            <w:proofErr w:type="spellStart"/>
            <w:r>
              <w:rPr>
                <w:rFonts w:ascii="Calibri" w:hAnsi="Calibri" w:cs="Calibri"/>
                <w:b/>
                <w:bCs/>
                <w:sz w:val="20"/>
                <w:szCs w:val="20"/>
                <w:lang w:val="en-US"/>
              </w:rPr>
              <w:t>Īrija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3F270ADD"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3.11%</w:t>
            </w:r>
          </w:p>
        </w:tc>
        <w:tc>
          <w:tcPr>
            <w:tcW w:w="1909" w:type="dxa"/>
            <w:tcBorders>
              <w:top w:val="nil"/>
              <w:left w:val="nil"/>
              <w:bottom w:val="single" w:sz="4" w:space="0" w:color="auto"/>
              <w:right w:val="single" w:sz="4" w:space="0" w:color="auto"/>
            </w:tcBorders>
            <w:shd w:val="clear" w:color="auto" w:fill="auto"/>
            <w:noWrap/>
            <w:vAlign w:val="center"/>
            <w:hideMark/>
          </w:tcPr>
          <w:p w14:paraId="57D8A669"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36 004 €</w:t>
            </w:r>
          </w:p>
        </w:tc>
        <w:tc>
          <w:tcPr>
            <w:tcW w:w="2283" w:type="dxa"/>
            <w:tcBorders>
              <w:top w:val="nil"/>
              <w:left w:val="nil"/>
              <w:bottom w:val="single" w:sz="4" w:space="0" w:color="auto"/>
              <w:right w:val="single" w:sz="4" w:space="0" w:color="auto"/>
            </w:tcBorders>
            <w:shd w:val="clear" w:color="auto" w:fill="auto"/>
            <w:noWrap/>
            <w:vAlign w:val="center"/>
            <w:hideMark/>
          </w:tcPr>
          <w:p w14:paraId="2D74FA17"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25 711 €</w:t>
            </w:r>
          </w:p>
        </w:tc>
        <w:tc>
          <w:tcPr>
            <w:tcW w:w="2070" w:type="dxa"/>
            <w:tcBorders>
              <w:top w:val="nil"/>
              <w:left w:val="nil"/>
              <w:bottom w:val="single" w:sz="4" w:space="0" w:color="auto"/>
              <w:right w:val="single" w:sz="8" w:space="0" w:color="auto"/>
            </w:tcBorders>
            <w:shd w:val="clear" w:color="auto" w:fill="auto"/>
            <w:noWrap/>
            <w:vAlign w:val="center"/>
            <w:hideMark/>
          </w:tcPr>
          <w:p w14:paraId="7BAB0610"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10 293 €</w:t>
            </w:r>
          </w:p>
        </w:tc>
      </w:tr>
      <w:tr w:rsidR="00CF5E67" w:rsidRPr="00441CF8" w14:paraId="05346BA4"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1136FB57" w14:textId="77777777" w:rsidR="00CF5E67" w:rsidRPr="00441CF8" w:rsidRDefault="00CF5E67" w:rsidP="00D7728D">
            <w:pPr>
              <w:spacing w:after="0" w:line="240" w:lineRule="auto"/>
              <w:rPr>
                <w:rFonts w:ascii="Calibri" w:hAnsi="Calibri" w:cs="Calibri"/>
                <w:b/>
                <w:bCs/>
                <w:sz w:val="20"/>
                <w:szCs w:val="20"/>
                <w:lang w:val="en-US"/>
              </w:rPr>
            </w:pPr>
            <w:proofErr w:type="spellStart"/>
            <w:r w:rsidRPr="00441CF8">
              <w:rPr>
                <w:rFonts w:ascii="Calibri" w:hAnsi="Calibri" w:cs="Calibri"/>
                <w:b/>
                <w:bCs/>
                <w:sz w:val="20"/>
                <w:szCs w:val="20"/>
                <w:lang w:val="en-US"/>
              </w:rPr>
              <w:t>It</w:t>
            </w:r>
            <w:r>
              <w:rPr>
                <w:rFonts w:ascii="Calibri" w:hAnsi="Calibri" w:cs="Calibri"/>
                <w:b/>
                <w:bCs/>
                <w:sz w:val="20"/>
                <w:szCs w:val="20"/>
                <w:lang w:val="en-US"/>
              </w:rPr>
              <w:t>ālija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0555015D"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7.06%</w:t>
            </w:r>
          </w:p>
        </w:tc>
        <w:tc>
          <w:tcPr>
            <w:tcW w:w="1909" w:type="dxa"/>
            <w:tcBorders>
              <w:top w:val="nil"/>
              <w:left w:val="nil"/>
              <w:bottom w:val="single" w:sz="4" w:space="0" w:color="auto"/>
              <w:right w:val="single" w:sz="4" w:space="0" w:color="auto"/>
            </w:tcBorders>
            <w:shd w:val="clear" w:color="auto" w:fill="auto"/>
            <w:noWrap/>
            <w:vAlign w:val="center"/>
            <w:hideMark/>
          </w:tcPr>
          <w:p w14:paraId="29220E93"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81 801 €</w:t>
            </w:r>
          </w:p>
        </w:tc>
        <w:tc>
          <w:tcPr>
            <w:tcW w:w="2283" w:type="dxa"/>
            <w:tcBorders>
              <w:top w:val="nil"/>
              <w:left w:val="nil"/>
              <w:bottom w:val="single" w:sz="4" w:space="0" w:color="auto"/>
              <w:right w:val="single" w:sz="4" w:space="0" w:color="auto"/>
            </w:tcBorders>
            <w:shd w:val="clear" w:color="auto" w:fill="auto"/>
            <w:noWrap/>
            <w:vAlign w:val="center"/>
            <w:hideMark/>
          </w:tcPr>
          <w:p w14:paraId="1A95E350"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45 583 €</w:t>
            </w:r>
          </w:p>
        </w:tc>
        <w:tc>
          <w:tcPr>
            <w:tcW w:w="2070" w:type="dxa"/>
            <w:tcBorders>
              <w:top w:val="nil"/>
              <w:left w:val="nil"/>
              <w:bottom w:val="single" w:sz="4" w:space="0" w:color="auto"/>
              <w:right w:val="single" w:sz="8" w:space="0" w:color="auto"/>
            </w:tcBorders>
            <w:shd w:val="clear" w:color="auto" w:fill="auto"/>
            <w:noWrap/>
            <w:vAlign w:val="center"/>
            <w:hideMark/>
          </w:tcPr>
          <w:p w14:paraId="033E399A"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36 217 €</w:t>
            </w:r>
          </w:p>
        </w:tc>
      </w:tr>
      <w:tr w:rsidR="00CF5E67" w:rsidRPr="00441CF8" w14:paraId="75D0597A"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471229E1" w14:textId="77777777" w:rsidR="00CF5E67" w:rsidRPr="00441CF8" w:rsidRDefault="00CF5E67" w:rsidP="00D7728D">
            <w:pPr>
              <w:spacing w:after="0" w:line="240" w:lineRule="auto"/>
              <w:rPr>
                <w:rFonts w:ascii="Calibri" w:hAnsi="Calibri" w:cs="Calibri"/>
                <w:b/>
                <w:bCs/>
                <w:sz w:val="20"/>
                <w:szCs w:val="20"/>
                <w:lang w:val="en-US"/>
              </w:rPr>
            </w:pPr>
            <w:proofErr w:type="spellStart"/>
            <w:r w:rsidRPr="00441CF8">
              <w:rPr>
                <w:rFonts w:ascii="Calibri" w:hAnsi="Calibri" w:cs="Calibri"/>
                <w:b/>
                <w:bCs/>
                <w:sz w:val="20"/>
                <w:szCs w:val="20"/>
                <w:lang w:val="en-US"/>
              </w:rPr>
              <w:t>Latv</w:t>
            </w:r>
            <w:r>
              <w:rPr>
                <w:rFonts w:ascii="Calibri" w:hAnsi="Calibri" w:cs="Calibri"/>
                <w:b/>
                <w:bCs/>
                <w:sz w:val="20"/>
                <w:szCs w:val="20"/>
                <w:lang w:val="en-US"/>
              </w:rPr>
              <w:t>ija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1EDD6928"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2.52%</w:t>
            </w:r>
          </w:p>
        </w:tc>
        <w:tc>
          <w:tcPr>
            <w:tcW w:w="1909" w:type="dxa"/>
            <w:tcBorders>
              <w:top w:val="nil"/>
              <w:left w:val="nil"/>
              <w:bottom w:val="single" w:sz="4" w:space="0" w:color="auto"/>
              <w:right w:val="single" w:sz="4" w:space="0" w:color="auto"/>
            </w:tcBorders>
            <w:shd w:val="clear" w:color="auto" w:fill="auto"/>
            <w:noWrap/>
            <w:vAlign w:val="center"/>
            <w:hideMark/>
          </w:tcPr>
          <w:p w14:paraId="2F17F894"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29 225 €</w:t>
            </w:r>
          </w:p>
        </w:tc>
        <w:tc>
          <w:tcPr>
            <w:tcW w:w="2283" w:type="dxa"/>
            <w:tcBorders>
              <w:top w:val="nil"/>
              <w:left w:val="nil"/>
              <w:bottom w:val="single" w:sz="4" w:space="0" w:color="auto"/>
              <w:right w:val="single" w:sz="4" w:space="0" w:color="auto"/>
            </w:tcBorders>
            <w:shd w:val="clear" w:color="auto" w:fill="auto"/>
            <w:noWrap/>
            <w:vAlign w:val="center"/>
            <w:hideMark/>
          </w:tcPr>
          <w:p w14:paraId="45A7FF76"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15 952 €</w:t>
            </w:r>
          </w:p>
        </w:tc>
        <w:tc>
          <w:tcPr>
            <w:tcW w:w="2070" w:type="dxa"/>
            <w:tcBorders>
              <w:top w:val="nil"/>
              <w:left w:val="nil"/>
              <w:bottom w:val="single" w:sz="4" w:space="0" w:color="auto"/>
              <w:right w:val="single" w:sz="8" w:space="0" w:color="auto"/>
            </w:tcBorders>
            <w:shd w:val="clear" w:color="auto" w:fill="auto"/>
            <w:noWrap/>
            <w:vAlign w:val="center"/>
            <w:hideMark/>
          </w:tcPr>
          <w:p w14:paraId="59002676"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13 273 €</w:t>
            </w:r>
          </w:p>
        </w:tc>
      </w:tr>
      <w:tr w:rsidR="00CF5E67" w:rsidRPr="00441CF8" w14:paraId="0C482D02"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55058AA4" w14:textId="77777777" w:rsidR="00CF5E67" w:rsidRPr="00441CF8" w:rsidRDefault="00CF5E67" w:rsidP="00D7728D">
            <w:pPr>
              <w:spacing w:after="0" w:line="240" w:lineRule="auto"/>
              <w:rPr>
                <w:rFonts w:ascii="Calibri" w:hAnsi="Calibri" w:cs="Calibri"/>
                <w:b/>
                <w:bCs/>
                <w:sz w:val="20"/>
                <w:szCs w:val="20"/>
                <w:lang w:val="en-US"/>
              </w:rPr>
            </w:pPr>
            <w:proofErr w:type="spellStart"/>
            <w:r w:rsidRPr="00441CF8">
              <w:rPr>
                <w:rFonts w:ascii="Calibri" w:hAnsi="Calibri" w:cs="Calibri"/>
                <w:b/>
                <w:bCs/>
                <w:sz w:val="20"/>
                <w:szCs w:val="20"/>
                <w:lang w:val="en-US"/>
              </w:rPr>
              <w:t>Li</w:t>
            </w:r>
            <w:r>
              <w:rPr>
                <w:rFonts w:ascii="Calibri" w:hAnsi="Calibri" w:cs="Calibri"/>
                <w:b/>
                <w:bCs/>
                <w:sz w:val="20"/>
                <w:szCs w:val="20"/>
                <w:lang w:val="en-US"/>
              </w:rPr>
              <w:t>etuva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50A49004"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2.56%</w:t>
            </w:r>
          </w:p>
        </w:tc>
        <w:tc>
          <w:tcPr>
            <w:tcW w:w="1909" w:type="dxa"/>
            <w:tcBorders>
              <w:top w:val="nil"/>
              <w:left w:val="nil"/>
              <w:bottom w:val="single" w:sz="4" w:space="0" w:color="auto"/>
              <w:right w:val="single" w:sz="4" w:space="0" w:color="auto"/>
            </w:tcBorders>
            <w:shd w:val="clear" w:color="auto" w:fill="auto"/>
            <w:noWrap/>
            <w:vAlign w:val="center"/>
            <w:hideMark/>
          </w:tcPr>
          <w:p w14:paraId="5435CC82"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29 666 €</w:t>
            </w:r>
          </w:p>
        </w:tc>
        <w:tc>
          <w:tcPr>
            <w:tcW w:w="2283" w:type="dxa"/>
            <w:tcBorders>
              <w:top w:val="nil"/>
              <w:left w:val="nil"/>
              <w:bottom w:val="single" w:sz="4" w:space="0" w:color="auto"/>
              <w:right w:val="single" w:sz="4" w:space="0" w:color="auto"/>
            </w:tcBorders>
            <w:shd w:val="clear" w:color="auto" w:fill="auto"/>
            <w:noWrap/>
            <w:vAlign w:val="center"/>
            <w:hideMark/>
          </w:tcPr>
          <w:p w14:paraId="2EF37603"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15 952 €</w:t>
            </w:r>
          </w:p>
        </w:tc>
        <w:tc>
          <w:tcPr>
            <w:tcW w:w="2070" w:type="dxa"/>
            <w:tcBorders>
              <w:top w:val="nil"/>
              <w:left w:val="nil"/>
              <w:bottom w:val="single" w:sz="4" w:space="0" w:color="auto"/>
              <w:right w:val="single" w:sz="8" w:space="0" w:color="auto"/>
            </w:tcBorders>
            <w:shd w:val="clear" w:color="auto" w:fill="auto"/>
            <w:noWrap/>
            <w:vAlign w:val="center"/>
            <w:hideMark/>
          </w:tcPr>
          <w:p w14:paraId="4D032250"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13 713 €</w:t>
            </w:r>
          </w:p>
        </w:tc>
      </w:tr>
      <w:tr w:rsidR="00CF5E67" w:rsidRPr="00441CF8" w14:paraId="026A56A6"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47F36651" w14:textId="77777777" w:rsidR="00CF5E67" w:rsidRPr="00441CF8" w:rsidRDefault="00CF5E67" w:rsidP="00D7728D">
            <w:pPr>
              <w:spacing w:after="0" w:line="240" w:lineRule="auto"/>
              <w:rPr>
                <w:rFonts w:ascii="Calibri" w:hAnsi="Calibri" w:cs="Calibri"/>
                <w:b/>
                <w:bCs/>
                <w:sz w:val="20"/>
                <w:szCs w:val="20"/>
                <w:lang w:val="en-US"/>
              </w:rPr>
            </w:pPr>
            <w:proofErr w:type="spellStart"/>
            <w:r w:rsidRPr="00441CF8">
              <w:rPr>
                <w:rFonts w:ascii="Calibri" w:hAnsi="Calibri" w:cs="Calibri"/>
                <w:b/>
                <w:bCs/>
                <w:sz w:val="20"/>
                <w:szCs w:val="20"/>
                <w:lang w:val="en-US"/>
              </w:rPr>
              <w:t>Lu</w:t>
            </w:r>
            <w:r>
              <w:rPr>
                <w:rFonts w:ascii="Calibri" w:hAnsi="Calibri" w:cs="Calibri"/>
                <w:b/>
                <w:bCs/>
                <w:sz w:val="20"/>
                <w:szCs w:val="20"/>
                <w:lang w:val="en-US"/>
              </w:rPr>
              <w:t>ksemburga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5FA8FAEE"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2.56%</w:t>
            </w:r>
          </w:p>
        </w:tc>
        <w:tc>
          <w:tcPr>
            <w:tcW w:w="1909" w:type="dxa"/>
            <w:tcBorders>
              <w:top w:val="nil"/>
              <w:left w:val="nil"/>
              <w:bottom w:val="single" w:sz="4" w:space="0" w:color="auto"/>
              <w:right w:val="single" w:sz="4" w:space="0" w:color="auto"/>
            </w:tcBorders>
            <w:shd w:val="clear" w:color="auto" w:fill="auto"/>
            <w:noWrap/>
            <w:vAlign w:val="center"/>
            <w:hideMark/>
          </w:tcPr>
          <w:p w14:paraId="70AF5D91"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29 608 €</w:t>
            </w:r>
          </w:p>
        </w:tc>
        <w:tc>
          <w:tcPr>
            <w:tcW w:w="2283" w:type="dxa"/>
            <w:tcBorders>
              <w:top w:val="nil"/>
              <w:left w:val="nil"/>
              <w:bottom w:val="single" w:sz="4" w:space="0" w:color="auto"/>
              <w:right w:val="single" w:sz="4" w:space="0" w:color="auto"/>
            </w:tcBorders>
            <w:shd w:val="clear" w:color="auto" w:fill="auto"/>
            <w:noWrap/>
            <w:vAlign w:val="center"/>
            <w:hideMark/>
          </w:tcPr>
          <w:p w14:paraId="12A56D1A"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24 623 €</w:t>
            </w:r>
          </w:p>
        </w:tc>
        <w:tc>
          <w:tcPr>
            <w:tcW w:w="2070" w:type="dxa"/>
            <w:tcBorders>
              <w:top w:val="nil"/>
              <w:left w:val="nil"/>
              <w:bottom w:val="single" w:sz="4" w:space="0" w:color="auto"/>
              <w:right w:val="single" w:sz="8" w:space="0" w:color="auto"/>
            </w:tcBorders>
            <w:shd w:val="clear" w:color="auto" w:fill="auto"/>
            <w:noWrap/>
            <w:vAlign w:val="center"/>
            <w:hideMark/>
          </w:tcPr>
          <w:p w14:paraId="6F5747CC"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4 984 €</w:t>
            </w:r>
          </w:p>
        </w:tc>
      </w:tr>
      <w:tr w:rsidR="00CF5E67" w:rsidRPr="00441CF8" w14:paraId="49B10B86"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448AC365" w14:textId="77777777" w:rsidR="00CF5E67" w:rsidRPr="00441CF8" w:rsidRDefault="00CF5E67" w:rsidP="00D7728D">
            <w:pPr>
              <w:spacing w:after="0" w:line="240" w:lineRule="auto"/>
              <w:rPr>
                <w:rFonts w:ascii="Calibri" w:hAnsi="Calibri" w:cs="Calibri"/>
                <w:b/>
                <w:bCs/>
                <w:sz w:val="20"/>
                <w:szCs w:val="20"/>
                <w:lang w:val="en-US"/>
              </w:rPr>
            </w:pPr>
            <w:r w:rsidRPr="00441CF8">
              <w:rPr>
                <w:rFonts w:ascii="Calibri" w:hAnsi="Calibri" w:cs="Calibri"/>
                <w:b/>
                <w:bCs/>
                <w:sz w:val="20"/>
                <w:szCs w:val="20"/>
                <w:lang w:val="en-US"/>
              </w:rPr>
              <w:t>Malt</w:t>
            </w:r>
            <w:r>
              <w:rPr>
                <w:rFonts w:ascii="Calibri" w:hAnsi="Calibri" w:cs="Calibri"/>
                <w:b/>
                <w:bCs/>
                <w:sz w:val="20"/>
                <w:szCs w:val="20"/>
                <w:lang w:val="en-US"/>
              </w:rPr>
              <w:t>a</w:t>
            </w:r>
          </w:p>
        </w:tc>
        <w:tc>
          <w:tcPr>
            <w:tcW w:w="1463" w:type="dxa"/>
            <w:tcBorders>
              <w:top w:val="nil"/>
              <w:left w:val="nil"/>
              <w:bottom w:val="single" w:sz="4" w:space="0" w:color="auto"/>
              <w:right w:val="single" w:sz="8" w:space="0" w:color="auto"/>
            </w:tcBorders>
            <w:shd w:val="clear" w:color="auto" w:fill="auto"/>
            <w:noWrap/>
            <w:vAlign w:val="center"/>
            <w:hideMark/>
          </w:tcPr>
          <w:p w14:paraId="1A76D02A"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2.48%</w:t>
            </w:r>
          </w:p>
        </w:tc>
        <w:tc>
          <w:tcPr>
            <w:tcW w:w="1909" w:type="dxa"/>
            <w:tcBorders>
              <w:top w:val="nil"/>
              <w:left w:val="nil"/>
              <w:bottom w:val="single" w:sz="4" w:space="0" w:color="auto"/>
              <w:right w:val="single" w:sz="4" w:space="0" w:color="auto"/>
            </w:tcBorders>
            <w:shd w:val="clear" w:color="auto" w:fill="auto"/>
            <w:noWrap/>
            <w:vAlign w:val="center"/>
            <w:hideMark/>
          </w:tcPr>
          <w:p w14:paraId="5B1C96E6"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28 692 €</w:t>
            </w:r>
          </w:p>
        </w:tc>
        <w:tc>
          <w:tcPr>
            <w:tcW w:w="2283" w:type="dxa"/>
            <w:tcBorders>
              <w:top w:val="nil"/>
              <w:left w:val="nil"/>
              <w:bottom w:val="single" w:sz="4" w:space="0" w:color="auto"/>
              <w:right w:val="single" w:sz="4" w:space="0" w:color="auto"/>
            </w:tcBorders>
            <w:shd w:val="clear" w:color="auto" w:fill="auto"/>
            <w:noWrap/>
            <w:vAlign w:val="center"/>
            <w:hideMark/>
          </w:tcPr>
          <w:p w14:paraId="72D5E5DF"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15 952 €</w:t>
            </w:r>
          </w:p>
        </w:tc>
        <w:tc>
          <w:tcPr>
            <w:tcW w:w="2070" w:type="dxa"/>
            <w:tcBorders>
              <w:top w:val="nil"/>
              <w:left w:val="nil"/>
              <w:bottom w:val="single" w:sz="4" w:space="0" w:color="auto"/>
              <w:right w:val="single" w:sz="8" w:space="0" w:color="auto"/>
            </w:tcBorders>
            <w:shd w:val="clear" w:color="auto" w:fill="auto"/>
            <w:noWrap/>
            <w:vAlign w:val="center"/>
            <w:hideMark/>
          </w:tcPr>
          <w:p w14:paraId="12E08092"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12 740 €</w:t>
            </w:r>
          </w:p>
        </w:tc>
      </w:tr>
      <w:tr w:rsidR="00CF5E67" w:rsidRPr="00441CF8" w14:paraId="65A33699"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2813ED25" w14:textId="77777777" w:rsidR="00CF5E67" w:rsidRPr="00441CF8" w:rsidRDefault="00CF5E67" w:rsidP="00D7728D">
            <w:pPr>
              <w:spacing w:after="0" w:line="240" w:lineRule="auto"/>
              <w:rPr>
                <w:rFonts w:ascii="Calibri" w:hAnsi="Calibri" w:cs="Calibri"/>
                <w:b/>
                <w:bCs/>
                <w:sz w:val="20"/>
                <w:szCs w:val="20"/>
                <w:lang w:val="en-US"/>
              </w:rPr>
            </w:pPr>
            <w:proofErr w:type="spellStart"/>
            <w:r w:rsidRPr="00441CF8">
              <w:rPr>
                <w:rFonts w:ascii="Calibri" w:hAnsi="Calibri" w:cs="Calibri"/>
                <w:b/>
                <w:bCs/>
                <w:sz w:val="20"/>
                <w:szCs w:val="20"/>
                <w:lang w:val="en-US"/>
              </w:rPr>
              <w:t>N</w:t>
            </w:r>
            <w:r>
              <w:rPr>
                <w:rFonts w:ascii="Calibri" w:hAnsi="Calibri" w:cs="Calibri"/>
                <w:b/>
                <w:bCs/>
                <w:sz w:val="20"/>
                <w:szCs w:val="20"/>
                <w:lang w:val="en-US"/>
              </w:rPr>
              <w:t>īderlande</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1F7D79A3"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3.99%</w:t>
            </w:r>
          </w:p>
        </w:tc>
        <w:tc>
          <w:tcPr>
            <w:tcW w:w="1909" w:type="dxa"/>
            <w:tcBorders>
              <w:top w:val="nil"/>
              <w:left w:val="nil"/>
              <w:bottom w:val="single" w:sz="4" w:space="0" w:color="auto"/>
              <w:right w:val="single" w:sz="4" w:space="0" w:color="auto"/>
            </w:tcBorders>
            <w:shd w:val="clear" w:color="auto" w:fill="auto"/>
            <w:noWrap/>
            <w:vAlign w:val="center"/>
            <w:hideMark/>
          </w:tcPr>
          <w:p w14:paraId="2BB029D9"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46 213 €</w:t>
            </w:r>
          </w:p>
        </w:tc>
        <w:tc>
          <w:tcPr>
            <w:tcW w:w="2283" w:type="dxa"/>
            <w:tcBorders>
              <w:top w:val="nil"/>
              <w:left w:val="nil"/>
              <w:bottom w:val="single" w:sz="4" w:space="0" w:color="auto"/>
              <w:right w:val="single" w:sz="4" w:space="0" w:color="auto"/>
            </w:tcBorders>
            <w:shd w:val="clear" w:color="auto" w:fill="auto"/>
            <w:noWrap/>
            <w:vAlign w:val="center"/>
            <w:hideMark/>
          </w:tcPr>
          <w:p w14:paraId="20423630"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31 776 €</w:t>
            </w:r>
          </w:p>
        </w:tc>
        <w:tc>
          <w:tcPr>
            <w:tcW w:w="2070" w:type="dxa"/>
            <w:tcBorders>
              <w:top w:val="nil"/>
              <w:left w:val="nil"/>
              <w:bottom w:val="single" w:sz="4" w:space="0" w:color="auto"/>
              <w:right w:val="single" w:sz="8" w:space="0" w:color="auto"/>
            </w:tcBorders>
            <w:shd w:val="clear" w:color="auto" w:fill="auto"/>
            <w:noWrap/>
            <w:vAlign w:val="center"/>
            <w:hideMark/>
          </w:tcPr>
          <w:p w14:paraId="27258670"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14 437 €</w:t>
            </w:r>
          </w:p>
        </w:tc>
      </w:tr>
      <w:tr w:rsidR="00CF5E67" w:rsidRPr="00441CF8" w14:paraId="5A4ADFFC"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41728976" w14:textId="77777777" w:rsidR="00CF5E67" w:rsidRPr="00441CF8" w:rsidRDefault="00CF5E67" w:rsidP="00D7728D">
            <w:pPr>
              <w:spacing w:after="0" w:line="240" w:lineRule="auto"/>
              <w:rPr>
                <w:rFonts w:ascii="Calibri" w:hAnsi="Calibri" w:cs="Calibri"/>
                <w:b/>
                <w:bCs/>
                <w:sz w:val="20"/>
                <w:szCs w:val="20"/>
                <w:lang w:val="en-US"/>
              </w:rPr>
            </w:pPr>
            <w:proofErr w:type="spellStart"/>
            <w:r w:rsidRPr="00441CF8">
              <w:rPr>
                <w:rFonts w:ascii="Calibri" w:hAnsi="Calibri" w:cs="Calibri"/>
                <w:b/>
                <w:bCs/>
                <w:sz w:val="20"/>
                <w:szCs w:val="20"/>
                <w:lang w:val="en-US"/>
              </w:rPr>
              <w:t>Pol</w:t>
            </w:r>
            <w:r>
              <w:rPr>
                <w:rFonts w:ascii="Calibri" w:hAnsi="Calibri" w:cs="Calibri"/>
                <w:b/>
                <w:bCs/>
                <w:sz w:val="20"/>
                <w:szCs w:val="20"/>
                <w:lang w:val="en-US"/>
              </w:rPr>
              <w:t>ija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621053B3"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3.76%</w:t>
            </w:r>
          </w:p>
        </w:tc>
        <w:tc>
          <w:tcPr>
            <w:tcW w:w="1909" w:type="dxa"/>
            <w:tcBorders>
              <w:top w:val="nil"/>
              <w:left w:val="nil"/>
              <w:bottom w:val="single" w:sz="4" w:space="0" w:color="auto"/>
              <w:right w:val="single" w:sz="4" w:space="0" w:color="auto"/>
            </w:tcBorders>
            <w:shd w:val="clear" w:color="auto" w:fill="auto"/>
            <w:noWrap/>
            <w:vAlign w:val="center"/>
            <w:hideMark/>
          </w:tcPr>
          <w:p w14:paraId="2767E015"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43 548 €</w:t>
            </w:r>
          </w:p>
        </w:tc>
        <w:tc>
          <w:tcPr>
            <w:tcW w:w="2283" w:type="dxa"/>
            <w:tcBorders>
              <w:top w:val="nil"/>
              <w:left w:val="nil"/>
              <w:bottom w:val="single" w:sz="4" w:space="0" w:color="auto"/>
              <w:right w:val="single" w:sz="4" w:space="0" w:color="auto"/>
            </w:tcBorders>
            <w:shd w:val="clear" w:color="auto" w:fill="auto"/>
            <w:noWrap/>
            <w:vAlign w:val="center"/>
            <w:hideMark/>
          </w:tcPr>
          <w:p w14:paraId="570C483D"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25 296 €</w:t>
            </w:r>
          </w:p>
        </w:tc>
        <w:tc>
          <w:tcPr>
            <w:tcW w:w="2070" w:type="dxa"/>
            <w:tcBorders>
              <w:top w:val="nil"/>
              <w:left w:val="nil"/>
              <w:bottom w:val="single" w:sz="4" w:space="0" w:color="auto"/>
              <w:right w:val="single" w:sz="8" w:space="0" w:color="auto"/>
            </w:tcBorders>
            <w:shd w:val="clear" w:color="auto" w:fill="auto"/>
            <w:noWrap/>
            <w:vAlign w:val="center"/>
            <w:hideMark/>
          </w:tcPr>
          <w:p w14:paraId="0D3C385C"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18 253 €</w:t>
            </w:r>
          </w:p>
        </w:tc>
      </w:tr>
      <w:tr w:rsidR="00CF5E67" w:rsidRPr="00441CF8" w14:paraId="5599C991"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057FBA17" w14:textId="77777777" w:rsidR="00CF5E67" w:rsidRPr="00441CF8" w:rsidRDefault="00CF5E67" w:rsidP="00D7728D">
            <w:pPr>
              <w:spacing w:after="0" w:line="240" w:lineRule="auto"/>
              <w:rPr>
                <w:rFonts w:ascii="Calibri" w:hAnsi="Calibri" w:cs="Calibri"/>
                <w:b/>
                <w:bCs/>
                <w:sz w:val="20"/>
                <w:szCs w:val="20"/>
                <w:lang w:val="en-US"/>
              </w:rPr>
            </w:pPr>
            <w:proofErr w:type="spellStart"/>
            <w:r w:rsidRPr="00441CF8">
              <w:rPr>
                <w:rFonts w:ascii="Calibri" w:hAnsi="Calibri" w:cs="Calibri"/>
                <w:b/>
                <w:bCs/>
                <w:sz w:val="20"/>
                <w:szCs w:val="20"/>
                <w:lang w:val="en-US"/>
              </w:rPr>
              <w:t>Portug</w:t>
            </w:r>
            <w:r>
              <w:rPr>
                <w:rFonts w:ascii="Calibri" w:hAnsi="Calibri" w:cs="Calibri"/>
                <w:b/>
                <w:bCs/>
                <w:sz w:val="20"/>
                <w:szCs w:val="20"/>
                <w:lang w:val="en-US"/>
              </w:rPr>
              <w:t>āle</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1012BB48"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2.98%</w:t>
            </w:r>
          </w:p>
        </w:tc>
        <w:tc>
          <w:tcPr>
            <w:tcW w:w="1909" w:type="dxa"/>
            <w:tcBorders>
              <w:top w:val="nil"/>
              <w:left w:val="nil"/>
              <w:bottom w:val="single" w:sz="4" w:space="0" w:color="auto"/>
              <w:right w:val="single" w:sz="4" w:space="0" w:color="auto"/>
            </w:tcBorders>
            <w:shd w:val="clear" w:color="auto" w:fill="auto"/>
            <w:noWrap/>
            <w:vAlign w:val="center"/>
            <w:hideMark/>
          </w:tcPr>
          <w:p w14:paraId="39A7721A"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34 567 €</w:t>
            </w:r>
          </w:p>
        </w:tc>
        <w:tc>
          <w:tcPr>
            <w:tcW w:w="2283" w:type="dxa"/>
            <w:tcBorders>
              <w:top w:val="nil"/>
              <w:left w:val="nil"/>
              <w:bottom w:val="single" w:sz="4" w:space="0" w:color="auto"/>
              <w:right w:val="single" w:sz="4" w:space="0" w:color="auto"/>
            </w:tcBorders>
            <w:shd w:val="clear" w:color="auto" w:fill="auto"/>
            <w:noWrap/>
            <w:vAlign w:val="center"/>
            <w:hideMark/>
          </w:tcPr>
          <w:p w14:paraId="67D12B15"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25 832 €</w:t>
            </w:r>
          </w:p>
        </w:tc>
        <w:tc>
          <w:tcPr>
            <w:tcW w:w="2070" w:type="dxa"/>
            <w:tcBorders>
              <w:top w:val="nil"/>
              <w:left w:val="nil"/>
              <w:bottom w:val="single" w:sz="4" w:space="0" w:color="auto"/>
              <w:right w:val="single" w:sz="8" w:space="0" w:color="auto"/>
            </w:tcBorders>
            <w:shd w:val="clear" w:color="auto" w:fill="auto"/>
            <w:noWrap/>
            <w:vAlign w:val="center"/>
            <w:hideMark/>
          </w:tcPr>
          <w:p w14:paraId="5E6EA416"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8 736 €</w:t>
            </w:r>
          </w:p>
        </w:tc>
      </w:tr>
      <w:tr w:rsidR="00CF5E67" w:rsidRPr="00441CF8" w14:paraId="2D84BE5B"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07D696E5" w14:textId="77777777" w:rsidR="00CF5E67" w:rsidRPr="00441CF8" w:rsidRDefault="00CF5E67" w:rsidP="00D7728D">
            <w:pPr>
              <w:spacing w:after="0" w:line="240" w:lineRule="auto"/>
              <w:rPr>
                <w:rFonts w:ascii="Calibri" w:hAnsi="Calibri" w:cs="Calibri"/>
                <w:b/>
                <w:bCs/>
                <w:sz w:val="20"/>
                <w:szCs w:val="20"/>
                <w:lang w:val="en-US"/>
              </w:rPr>
            </w:pPr>
            <w:proofErr w:type="spellStart"/>
            <w:r w:rsidRPr="00441CF8">
              <w:rPr>
                <w:rFonts w:ascii="Calibri" w:hAnsi="Calibri" w:cs="Calibri"/>
                <w:b/>
                <w:bCs/>
                <w:sz w:val="20"/>
                <w:szCs w:val="20"/>
                <w:lang w:val="en-US"/>
              </w:rPr>
              <w:t>R</w:t>
            </w:r>
            <w:r>
              <w:rPr>
                <w:rFonts w:ascii="Calibri" w:hAnsi="Calibri" w:cs="Calibri"/>
                <w:b/>
                <w:bCs/>
                <w:sz w:val="20"/>
                <w:szCs w:val="20"/>
                <w:lang w:val="en-US"/>
              </w:rPr>
              <w:t>umānija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4E679327"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2.97%</w:t>
            </w:r>
          </w:p>
        </w:tc>
        <w:tc>
          <w:tcPr>
            <w:tcW w:w="1909" w:type="dxa"/>
            <w:tcBorders>
              <w:top w:val="nil"/>
              <w:left w:val="nil"/>
              <w:bottom w:val="single" w:sz="4" w:space="0" w:color="auto"/>
              <w:right w:val="single" w:sz="4" w:space="0" w:color="auto"/>
            </w:tcBorders>
            <w:shd w:val="clear" w:color="auto" w:fill="auto"/>
            <w:noWrap/>
            <w:vAlign w:val="center"/>
            <w:hideMark/>
          </w:tcPr>
          <w:p w14:paraId="76850F57"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34 463 €</w:t>
            </w:r>
          </w:p>
        </w:tc>
        <w:tc>
          <w:tcPr>
            <w:tcW w:w="2283" w:type="dxa"/>
            <w:tcBorders>
              <w:top w:val="nil"/>
              <w:left w:val="nil"/>
              <w:bottom w:val="single" w:sz="4" w:space="0" w:color="auto"/>
              <w:right w:val="single" w:sz="4" w:space="0" w:color="auto"/>
            </w:tcBorders>
            <w:shd w:val="clear" w:color="auto" w:fill="auto"/>
            <w:noWrap/>
            <w:vAlign w:val="center"/>
            <w:hideMark/>
          </w:tcPr>
          <w:p w14:paraId="69AA6414"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22 410 €</w:t>
            </w:r>
          </w:p>
        </w:tc>
        <w:tc>
          <w:tcPr>
            <w:tcW w:w="2070" w:type="dxa"/>
            <w:tcBorders>
              <w:top w:val="nil"/>
              <w:left w:val="nil"/>
              <w:bottom w:val="single" w:sz="4" w:space="0" w:color="auto"/>
              <w:right w:val="single" w:sz="8" w:space="0" w:color="auto"/>
            </w:tcBorders>
            <w:shd w:val="clear" w:color="auto" w:fill="auto"/>
            <w:noWrap/>
            <w:vAlign w:val="center"/>
            <w:hideMark/>
          </w:tcPr>
          <w:p w14:paraId="48CE4DA0"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12 053 €</w:t>
            </w:r>
          </w:p>
        </w:tc>
      </w:tr>
      <w:tr w:rsidR="00CF5E67" w:rsidRPr="00441CF8" w14:paraId="13D85E53"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58876A9F" w14:textId="77777777" w:rsidR="00CF5E67" w:rsidRPr="00441CF8" w:rsidRDefault="00CF5E67" w:rsidP="00D7728D">
            <w:pPr>
              <w:spacing w:after="0" w:line="240" w:lineRule="auto"/>
              <w:rPr>
                <w:rFonts w:ascii="Calibri" w:hAnsi="Calibri" w:cs="Calibri"/>
                <w:b/>
                <w:bCs/>
                <w:sz w:val="20"/>
                <w:szCs w:val="20"/>
                <w:lang w:val="en-US"/>
              </w:rPr>
            </w:pPr>
            <w:proofErr w:type="spellStart"/>
            <w:r w:rsidRPr="00441CF8">
              <w:rPr>
                <w:rFonts w:ascii="Calibri" w:hAnsi="Calibri" w:cs="Calibri"/>
                <w:b/>
                <w:bCs/>
                <w:sz w:val="20"/>
                <w:szCs w:val="20"/>
                <w:lang w:val="en-US"/>
              </w:rPr>
              <w:t>Slov</w:t>
            </w:r>
            <w:r>
              <w:rPr>
                <w:rFonts w:ascii="Calibri" w:hAnsi="Calibri" w:cs="Calibri"/>
                <w:b/>
                <w:bCs/>
                <w:sz w:val="20"/>
                <w:szCs w:val="20"/>
                <w:lang w:val="en-US"/>
              </w:rPr>
              <w:t>ākija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5E122D20"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2.68%</w:t>
            </w:r>
          </w:p>
        </w:tc>
        <w:tc>
          <w:tcPr>
            <w:tcW w:w="1909" w:type="dxa"/>
            <w:tcBorders>
              <w:top w:val="nil"/>
              <w:left w:val="nil"/>
              <w:bottom w:val="single" w:sz="4" w:space="0" w:color="auto"/>
              <w:right w:val="single" w:sz="4" w:space="0" w:color="auto"/>
            </w:tcBorders>
            <w:shd w:val="clear" w:color="auto" w:fill="auto"/>
            <w:noWrap/>
            <w:vAlign w:val="center"/>
            <w:hideMark/>
          </w:tcPr>
          <w:p w14:paraId="7A5A1CE2"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31 068 €</w:t>
            </w:r>
          </w:p>
        </w:tc>
        <w:tc>
          <w:tcPr>
            <w:tcW w:w="2283" w:type="dxa"/>
            <w:tcBorders>
              <w:top w:val="nil"/>
              <w:left w:val="nil"/>
              <w:bottom w:val="single" w:sz="4" w:space="0" w:color="auto"/>
              <w:right w:val="single" w:sz="4" w:space="0" w:color="auto"/>
            </w:tcBorders>
            <w:shd w:val="clear" w:color="auto" w:fill="auto"/>
            <w:noWrap/>
            <w:vAlign w:val="center"/>
            <w:hideMark/>
          </w:tcPr>
          <w:p w14:paraId="6E12F865"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15 952 €</w:t>
            </w:r>
          </w:p>
        </w:tc>
        <w:tc>
          <w:tcPr>
            <w:tcW w:w="2070" w:type="dxa"/>
            <w:tcBorders>
              <w:top w:val="nil"/>
              <w:left w:val="nil"/>
              <w:bottom w:val="single" w:sz="4" w:space="0" w:color="auto"/>
              <w:right w:val="single" w:sz="8" w:space="0" w:color="auto"/>
            </w:tcBorders>
            <w:shd w:val="clear" w:color="auto" w:fill="auto"/>
            <w:noWrap/>
            <w:vAlign w:val="center"/>
            <w:hideMark/>
          </w:tcPr>
          <w:p w14:paraId="68D022EA"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15 115 €</w:t>
            </w:r>
          </w:p>
        </w:tc>
      </w:tr>
      <w:tr w:rsidR="00CF5E67" w:rsidRPr="00441CF8" w14:paraId="7F7A9627"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6EA75E88" w14:textId="77777777" w:rsidR="00CF5E67" w:rsidRPr="00441CF8" w:rsidRDefault="00CF5E67" w:rsidP="00D7728D">
            <w:pPr>
              <w:spacing w:after="0" w:line="240" w:lineRule="auto"/>
              <w:rPr>
                <w:rFonts w:ascii="Calibri" w:hAnsi="Calibri" w:cs="Calibri"/>
                <w:b/>
                <w:bCs/>
                <w:sz w:val="20"/>
                <w:szCs w:val="20"/>
                <w:lang w:val="en-US"/>
              </w:rPr>
            </w:pPr>
            <w:proofErr w:type="spellStart"/>
            <w:r w:rsidRPr="00441CF8">
              <w:rPr>
                <w:rFonts w:ascii="Calibri" w:hAnsi="Calibri" w:cs="Calibri"/>
                <w:b/>
                <w:bCs/>
                <w:sz w:val="20"/>
                <w:szCs w:val="20"/>
                <w:lang w:val="en-US"/>
              </w:rPr>
              <w:t>Slov</w:t>
            </w:r>
            <w:r>
              <w:rPr>
                <w:rFonts w:ascii="Calibri" w:hAnsi="Calibri" w:cs="Calibri"/>
                <w:b/>
                <w:bCs/>
                <w:sz w:val="20"/>
                <w:szCs w:val="20"/>
                <w:lang w:val="en-US"/>
              </w:rPr>
              <w:t>ēnija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25E27315"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2.57%</w:t>
            </w:r>
          </w:p>
        </w:tc>
        <w:tc>
          <w:tcPr>
            <w:tcW w:w="1909" w:type="dxa"/>
            <w:tcBorders>
              <w:top w:val="nil"/>
              <w:left w:val="nil"/>
              <w:bottom w:val="single" w:sz="4" w:space="0" w:color="auto"/>
              <w:right w:val="single" w:sz="4" w:space="0" w:color="auto"/>
            </w:tcBorders>
            <w:shd w:val="clear" w:color="auto" w:fill="auto"/>
            <w:noWrap/>
            <w:vAlign w:val="center"/>
            <w:hideMark/>
          </w:tcPr>
          <w:p w14:paraId="7B65A0DA"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29 770 €</w:t>
            </w:r>
          </w:p>
        </w:tc>
        <w:tc>
          <w:tcPr>
            <w:tcW w:w="2283" w:type="dxa"/>
            <w:tcBorders>
              <w:top w:val="nil"/>
              <w:left w:val="nil"/>
              <w:bottom w:val="single" w:sz="4" w:space="0" w:color="auto"/>
              <w:right w:val="single" w:sz="4" w:space="0" w:color="auto"/>
            </w:tcBorders>
            <w:shd w:val="clear" w:color="auto" w:fill="auto"/>
            <w:noWrap/>
            <w:vAlign w:val="center"/>
            <w:hideMark/>
          </w:tcPr>
          <w:p w14:paraId="04D8BC31"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19 502 €</w:t>
            </w:r>
          </w:p>
        </w:tc>
        <w:tc>
          <w:tcPr>
            <w:tcW w:w="2070" w:type="dxa"/>
            <w:tcBorders>
              <w:top w:val="nil"/>
              <w:left w:val="nil"/>
              <w:bottom w:val="single" w:sz="4" w:space="0" w:color="auto"/>
              <w:right w:val="single" w:sz="8" w:space="0" w:color="auto"/>
            </w:tcBorders>
            <w:shd w:val="clear" w:color="auto" w:fill="auto"/>
            <w:noWrap/>
            <w:vAlign w:val="center"/>
            <w:hideMark/>
          </w:tcPr>
          <w:p w14:paraId="09B853FC"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10 268 €</w:t>
            </w:r>
          </w:p>
        </w:tc>
      </w:tr>
      <w:tr w:rsidR="00CF5E67" w:rsidRPr="00441CF8" w14:paraId="2B6D5DFC"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1CDF4B6F" w14:textId="77777777" w:rsidR="00CF5E67" w:rsidRPr="00441CF8" w:rsidRDefault="00CF5E67" w:rsidP="00D7728D">
            <w:pPr>
              <w:spacing w:after="0" w:line="240" w:lineRule="auto"/>
              <w:rPr>
                <w:rFonts w:ascii="Calibri" w:hAnsi="Calibri" w:cs="Calibri"/>
                <w:b/>
                <w:bCs/>
                <w:sz w:val="20"/>
                <w:szCs w:val="20"/>
                <w:lang w:val="en-US"/>
              </w:rPr>
            </w:pPr>
            <w:proofErr w:type="spellStart"/>
            <w:r w:rsidRPr="00441CF8">
              <w:rPr>
                <w:rFonts w:ascii="Calibri" w:hAnsi="Calibri" w:cs="Calibri"/>
                <w:b/>
                <w:bCs/>
                <w:sz w:val="20"/>
                <w:szCs w:val="20"/>
                <w:lang w:val="en-US"/>
              </w:rPr>
              <w:t>Sp</w:t>
            </w:r>
            <w:r>
              <w:rPr>
                <w:rFonts w:ascii="Calibri" w:hAnsi="Calibri" w:cs="Calibri"/>
                <w:b/>
                <w:bCs/>
                <w:sz w:val="20"/>
                <w:szCs w:val="20"/>
                <w:lang w:val="en-US"/>
              </w:rPr>
              <w:t>ānija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3D5D9F24"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5.71%</w:t>
            </w:r>
          </w:p>
        </w:tc>
        <w:tc>
          <w:tcPr>
            <w:tcW w:w="1909" w:type="dxa"/>
            <w:tcBorders>
              <w:top w:val="nil"/>
              <w:left w:val="nil"/>
              <w:bottom w:val="single" w:sz="4" w:space="0" w:color="auto"/>
              <w:right w:val="single" w:sz="4" w:space="0" w:color="auto"/>
            </w:tcBorders>
            <w:shd w:val="clear" w:color="auto" w:fill="auto"/>
            <w:noWrap/>
            <w:vAlign w:val="center"/>
            <w:hideMark/>
          </w:tcPr>
          <w:p w14:paraId="4BAEFC4C"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66 145 €</w:t>
            </w:r>
          </w:p>
        </w:tc>
        <w:tc>
          <w:tcPr>
            <w:tcW w:w="2283" w:type="dxa"/>
            <w:tcBorders>
              <w:top w:val="nil"/>
              <w:left w:val="nil"/>
              <w:bottom w:val="single" w:sz="4" w:space="0" w:color="auto"/>
              <w:right w:val="single" w:sz="4" w:space="0" w:color="auto"/>
            </w:tcBorders>
            <w:shd w:val="clear" w:color="auto" w:fill="auto"/>
            <w:noWrap/>
            <w:vAlign w:val="center"/>
            <w:hideMark/>
          </w:tcPr>
          <w:p w14:paraId="1311CFBF"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38 461 €</w:t>
            </w:r>
          </w:p>
        </w:tc>
        <w:tc>
          <w:tcPr>
            <w:tcW w:w="2070" w:type="dxa"/>
            <w:tcBorders>
              <w:top w:val="nil"/>
              <w:left w:val="nil"/>
              <w:bottom w:val="single" w:sz="4" w:space="0" w:color="auto"/>
              <w:right w:val="single" w:sz="8" w:space="0" w:color="auto"/>
            </w:tcBorders>
            <w:shd w:val="clear" w:color="auto" w:fill="auto"/>
            <w:noWrap/>
            <w:vAlign w:val="center"/>
            <w:hideMark/>
          </w:tcPr>
          <w:p w14:paraId="2D5B8796"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27 684 €</w:t>
            </w:r>
          </w:p>
        </w:tc>
      </w:tr>
      <w:tr w:rsidR="00CF5E67" w:rsidRPr="00441CF8" w14:paraId="62ACC4A3" w14:textId="77777777" w:rsidTr="00D7728D">
        <w:trPr>
          <w:trHeight w:val="249"/>
        </w:trPr>
        <w:tc>
          <w:tcPr>
            <w:tcW w:w="1284" w:type="dxa"/>
            <w:tcBorders>
              <w:top w:val="nil"/>
              <w:left w:val="single" w:sz="8" w:space="0" w:color="auto"/>
              <w:bottom w:val="single" w:sz="4" w:space="0" w:color="auto"/>
              <w:right w:val="single" w:sz="4" w:space="0" w:color="auto"/>
            </w:tcBorders>
            <w:shd w:val="clear" w:color="auto" w:fill="auto"/>
            <w:noWrap/>
            <w:vAlign w:val="center"/>
            <w:hideMark/>
          </w:tcPr>
          <w:p w14:paraId="1DBB53E2" w14:textId="77777777" w:rsidR="00CF5E67" w:rsidRPr="00441CF8" w:rsidRDefault="00CF5E67" w:rsidP="00D7728D">
            <w:pPr>
              <w:spacing w:after="0" w:line="240" w:lineRule="auto"/>
              <w:rPr>
                <w:rFonts w:ascii="Calibri" w:hAnsi="Calibri" w:cs="Calibri"/>
                <w:b/>
                <w:bCs/>
                <w:sz w:val="20"/>
                <w:szCs w:val="20"/>
                <w:lang w:val="en-US"/>
              </w:rPr>
            </w:pPr>
            <w:proofErr w:type="spellStart"/>
            <w:r>
              <w:rPr>
                <w:rFonts w:ascii="Calibri" w:hAnsi="Calibri" w:cs="Calibri"/>
                <w:b/>
                <w:bCs/>
                <w:sz w:val="20"/>
                <w:szCs w:val="20"/>
                <w:lang w:val="en-US"/>
              </w:rPr>
              <w:t>Zviedrija</w:t>
            </w:r>
            <w:proofErr w:type="spellEnd"/>
          </w:p>
        </w:tc>
        <w:tc>
          <w:tcPr>
            <w:tcW w:w="1463" w:type="dxa"/>
            <w:tcBorders>
              <w:top w:val="nil"/>
              <w:left w:val="nil"/>
              <w:bottom w:val="single" w:sz="4" w:space="0" w:color="auto"/>
              <w:right w:val="single" w:sz="8" w:space="0" w:color="auto"/>
            </w:tcBorders>
            <w:shd w:val="clear" w:color="auto" w:fill="auto"/>
            <w:noWrap/>
            <w:vAlign w:val="center"/>
            <w:hideMark/>
          </w:tcPr>
          <w:p w14:paraId="368DB595"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3.49%</w:t>
            </w:r>
          </w:p>
        </w:tc>
        <w:tc>
          <w:tcPr>
            <w:tcW w:w="1909" w:type="dxa"/>
            <w:tcBorders>
              <w:top w:val="nil"/>
              <w:left w:val="nil"/>
              <w:bottom w:val="single" w:sz="4" w:space="0" w:color="auto"/>
              <w:right w:val="single" w:sz="4" w:space="0" w:color="auto"/>
            </w:tcBorders>
            <w:shd w:val="clear" w:color="auto" w:fill="auto"/>
            <w:noWrap/>
            <w:vAlign w:val="center"/>
            <w:hideMark/>
          </w:tcPr>
          <w:p w14:paraId="757BDC9C"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40 477 €</w:t>
            </w:r>
          </w:p>
        </w:tc>
        <w:tc>
          <w:tcPr>
            <w:tcW w:w="2283" w:type="dxa"/>
            <w:tcBorders>
              <w:top w:val="nil"/>
              <w:left w:val="nil"/>
              <w:bottom w:val="single" w:sz="4" w:space="0" w:color="auto"/>
              <w:right w:val="single" w:sz="4" w:space="0" w:color="auto"/>
            </w:tcBorders>
            <w:shd w:val="clear" w:color="auto" w:fill="auto"/>
            <w:noWrap/>
            <w:vAlign w:val="center"/>
            <w:hideMark/>
          </w:tcPr>
          <w:p w14:paraId="2BCB3174"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27 773 €</w:t>
            </w:r>
          </w:p>
        </w:tc>
        <w:tc>
          <w:tcPr>
            <w:tcW w:w="2070" w:type="dxa"/>
            <w:tcBorders>
              <w:top w:val="nil"/>
              <w:left w:val="nil"/>
              <w:bottom w:val="single" w:sz="4" w:space="0" w:color="auto"/>
              <w:right w:val="single" w:sz="8" w:space="0" w:color="auto"/>
            </w:tcBorders>
            <w:shd w:val="clear" w:color="auto" w:fill="auto"/>
            <w:noWrap/>
            <w:vAlign w:val="center"/>
            <w:hideMark/>
          </w:tcPr>
          <w:p w14:paraId="2D34EE75" w14:textId="77777777" w:rsidR="00CF5E67" w:rsidRPr="00441CF8" w:rsidRDefault="00CF5E67" w:rsidP="00D7728D">
            <w:pPr>
              <w:spacing w:after="0" w:line="240" w:lineRule="auto"/>
              <w:jc w:val="center"/>
              <w:rPr>
                <w:rFonts w:ascii="Calibri" w:hAnsi="Calibri" w:cs="Calibri"/>
                <w:sz w:val="20"/>
                <w:szCs w:val="20"/>
                <w:lang w:val="en-US"/>
              </w:rPr>
            </w:pPr>
            <w:r w:rsidRPr="00441CF8">
              <w:rPr>
                <w:rFonts w:ascii="Calibri" w:hAnsi="Calibri" w:cs="Calibri"/>
                <w:sz w:val="20"/>
                <w:szCs w:val="20"/>
                <w:lang w:val="en-US"/>
              </w:rPr>
              <w:t>12 704 €</w:t>
            </w:r>
          </w:p>
        </w:tc>
      </w:tr>
      <w:tr w:rsidR="00CF5E67" w:rsidRPr="00441CF8" w14:paraId="51E24037" w14:textId="77777777" w:rsidTr="00D7728D">
        <w:trPr>
          <w:trHeight w:val="249"/>
        </w:trPr>
        <w:tc>
          <w:tcPr>
            <w:tcW w:w="128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9007BA8" w14:textId="77777777" w:rsidR="00CF5E67" w:rsidRPr="00441CF8" w:rsidRDefault="00CF5E67" w:rsidP="00D7728D">
            <w:pPr>
              <w:spacing w:after="0" w:line="240" w:lineRule="auto"/>
              <w:rPr>
                <w:rFonts w:ascii="Calibri" w:hAnsi="Calibri" w:cs="Calibri"/>
                <w:b/>
                <w:bCs/>
                <w:sz w:val="20"/>
                <w:szCs w:val="20"/>
                <w:lang w:val="en-US"/>
              </w:rPr>
            </w:pPr>
            <w:proofErr w:type="spellStart"/>
            <w:r>
              <w:rPr>
                <w:rFonts w:ascii="Calibri" w:hAnsi="Calibri" w:cs="Calibri"/>
                <w:b/>
                <w:bCs/>
                <w:sz w:val="20"/>
                <w:szCs w:val="20"/>
                <w:lang w:val="en-US"/>
              </w:rPr>
              <w:t>Kopā</w:t>
            </w:r>
            <w:proofErr w:type="spellEnd"/>
          </w:p>
        </w:tc>
        <w:tc>
          <w:tcPr>
            <w:tcW w:w="1463" w:type="dxa"/>
            <w:tcBorders>
              <w:top w:val="single" w:sz="8" w:space="0" w:color="auto"/>
              <w:left w:val="nil"/>
              <w:bottom w:val="single" w:sz="8" w:space="0" w:color="auto"/>
              <w:right w:val="single" w:sz="8" w:space="0" w:color="auto"/>
            </w:tcBorders>
            <w:shd w:val="clear" w:color="auto" w:fill="auto"/>
            <w:noWrap/>
            <w:vAlign w:val="center"/>
            <w:hideMark/>
          </w:tcPr>
          <w:p w14:paraId="429498B9" w14:textId="77777777" w:rsidR="00CF5E67" w:rsidRPr="00441CF8" w:rsidRDefault="00CF5E67" w:rsidP="00D7728D">
            <w:pPr>
              <w:spacing w:after="0" w:line="240" w:lineRule="auto"/>
              <w:jc w:val="center"/>
              <w:rPr>
                <w:rFonts w:ascii="Calibri" w:hAnsi="Calibri" w:cs="Calibri"/>
                <w:b/>
                <w:bCs/>
                <w:sz w:val="20"/>
                <w:szCs w:val="20"/>
                <w:lang w:val="en-US"/>
              </w:rPr>
            </w:pPr>
            <w:r w:rsidRPr="00441CF8">
              <w:rPr>
                <w:rFonts w:ascii="Calibri" w:hAnsi="Calibri" w:cs="Calibri"/>
                <w:b/>
                <w:bCs/>
                <w:sz w:val="20"/>
                <w:szCs w:val="20"/>
                <w:lang w:val="en-US"/>
              </w:rPr>
              <w:t>100.00%</w:t>
            </w:r>
          </w:p>
        </w:tc>
        <w:tc>
          <w:tcPr>
            <w:tcW w:w="1909" w:type="dxa"/>
            <w:tcBorders>
              <w:top w:val="single" w:sz="8" w:space="0" w:color="auto"/>
              <w:left w:val="nil"/>
              <w:bottom w:val="single" w:sz="8" w:space="0" w:color="auto"/>
              <w:right w:val="single" w:sz="4" w:space="0" w:color="auto"/>
            </w:tcBorders>
            <w:shd w:val="clear" w:color="auto" w:fill="auto"/>
            <w:noWrap/>
            <w:vAlign w:val="center"/>
            <w:hideMark/>
          </w:tcPr>
          <w:p w14:paraId="59B3CFFD" w14:textId="77777777" w:rsidR="00CF5E67" w:rsidRPr="00441CF8" w:rsidRDefault="00CF5E67" w:rsidP="00D7728D">
            <w:pPr>
              <w:spacing w:after="0" w:line="240" w:lineRule="auto"/>
              <w:jc w:val="center"/>
              <w:rPr>
                <w:rFonts w:ascii="Calibri" w:hAnsi="Calibri" w:cs="Calibri"/>
                <w:b/>
                <w:bCs/>
                <w:sz w:val="20"/>
                <w:szCs w:val="20"/>
                <w:lang w:val="en-US"/>
              </w:rPr>
            </w:pPr>
            <w:r w:rsidRPr="00441CF8">
              <w:rPr>
                <w:rFonts w:ascii="Calibri" w:hAnsi="Calibri" w:cs="Calibri"/>
                <w:b/>
                <w:bCs/>
                <w:sz w:val="20"/>
                <w:szCs w:val="20"/>
                <w:lang w:val="en-US"/>
              </w:rPr>
              <w:t>1 158 800 €</w:t>
            </w:r>
          </w:p>
        </w:tc>
        <w:tc>
          <w:tcPr>
            <w:tcW w:w="2283" w:type="dxa"/>
            <w:tcBorders>
              <w:top w:val="single" w:sz="8" w:space="0" w:color="auto"/>
              <w:left w:val="nil"/>
              <w:bottom w:val="single" w:sz="8" w:space="0" w:color="auto"/>
              <w:right w:val="single" w:sz="4" w:space="0" w:color="auto"/>
            </w:tcBorders>
            <w:shd w:val="clear" w:color="auto" w:fill="auto"/>
            <w:noWrap/>
            <w:vAlign w:val="center"/>
            <w:hideMark/>
          </w:tcPr>
          <w:p w14:paraId="623F147E" w14:textId="77777777" w:rsidR="00CF5E67" w:rsidRPr="00441CF8" w:rsidRDefault="00CF5E67" w:rsidP="00D7728D">
            <w:pPr>
              <w:spacing w:after="0" w:line="240" w:lineRule="auto"/>
              <w:jc w:val="center"/>
              <w:rPr>
                <w:rFonts w:ascii="Calibri" w:hAnsi="Calibri" w:cs="Calibri"/>
                <w:b/>
                <w:bCs/>
                <w:sz w:val="20"/>
                <w:szCs w:val="20"/>
                <w:lang w:val="en-US"/>
              </w:rPr>
            </w:pPr>
            <w:r w:rsidRPr="00441CF8">
              <w:rPr>
                <w:rFonts w:ascii="Calibri" w:hAnsi="Calibri" w:cs="Calibri"/>
                <w:b/>
                <w:bCs/>
                <w:sz w:val="20"/>
                <w:szCs w:val="20"/>
                <w:lang w:val="en-US"/>
              </w:rPr>
              <w:t>712 611 €</w:t>
            </w:r>
          </w:p>
        </w:tc>
        <w:tc>
          <w:tcPr>
            <w:tcW w:w="2070" w:type="dxa"/>
            <w:tcBorders>
              <w:top w:val="single" w:sz="8" w:space="0" w:color="auto"/>
              <w:left w:val="nil"/>
              <w:bottom w:val="single" w:sz="8" w:space="0" w:color="auto"/>
              <w:right w:val="single" w:sz="8" w:space="0" w:color="auto"/>
            </w:tcBorders>
            <w:shd w:val="clear" w:color="auto" w:fill="auto"/>
            <w:noWrap/>
            <w:vAlign w:val="center"/>
            <w:hideMark/>
          </w:tcPr>
          <w:p w14:paraId="29022215" w14:textId="77777777" w:rsidR="00CF5E67" w:rsidRPr="00441CF8" w:rsidRDefault="00CF5E67" w:rsidP="00D7728D">
            <w:pPr>
              <w:spacing w:after="0" w:line="240" w:lineRule="auto"/>
              <w:jc w:val="center"/>
              <w:rPr>
                <w:rFonts w:ascii="Calibri" w:hAnsi="Calibri" w:cs="Calibri"/>
                <w:b/>
                <w:bCs/>
                <w:sz w:val="20"/>
                <w:szCs w:val="20"/>
                <w:lang w:val="en-US"/>
              </w:rPr>
            </w:pPr>
            <w:r w:rsidRPr="00441CF8">
              <w:rPr>
                <w:rFonts w:ascii="Calibri" w:hAnsi="Calibri" w:cs="Calibri"/>
                <w:b/>
                <w:bCs/>
                <w:sz w:val="20"/>
                <w:szCs w:val="20"/>
                <w:lang w:val="en-US"/>
              </w:rPr>
              <w:t>446 189 €</w:t>
            </w:r>
          </w:p>
        </w:tc>
      </w:tr>
    </w:tbl>
    <w:p w14:paraId="6FC66DD9" w14:textId="77777777" w:rsidR="00CF5E67" w:rsidRPr="004C576C" w:rsidRDefault="00CF5E67" w:rsidP="00CF5E67">
      <w:pPr>
        <w:spacing w:after="120"/>
        <w:rPr>
          <w:rFonts w:ascii="Times New Roman" w:hAnsi="Times New Roman"/>
          <w:b/>
          <w:sz w:val="24"/>
          <w:szCs w:val="24"/>
          <w:lang w:val="lv-LV"/>
        </w:rPr>
      </w:pPr>
    </w:p>
    <w:p w14:paraId="2A70FEF1" w14:textId="77777777" w:rsidR="00CF5E67" w:rsidRPr="004C576C" w:rsidRDefault="00CF5E67" w:rsidP="00CF5E67">
      <w:pPr>
        <w:pStyle w:val="Heading2"/>
        <w:rPr>
          <w:rFonts w:ascii="Times New Roman" w:hAnsi="Times New Roman"/>
          <w:sz w:val="24"/>
          <w:szCs w:val="24"/>
          <w:lang w:val="lv-LV"/>
        </w:rPr>
      </w:pPr>
      <w:bookmarkStart w:id="35" w:name="_Toc429386307"/>
      <w:bookmarkStart w:id="36" w:name="_Toc83667690"/>
      <w:r w:rsidRPr="004C576C">
        <w:rPr>
          <w:rFonts w:ascii="Times New Roman" w:hAnsi="Times New Roman"/>
          <w:sz w:val="24"/>
          <w:szCs w:val="24"/>
          <w:lang w:val="lv-LV"/>
        </w:rPr>
        <w:lastRenderedPageBreak/>
        <w:t>5.4 –LUKSEMBURGAS SEGUMS ATBILDĪBAS GADĪJUMIEM, KAS PĀRSNIEDZ 2 % SLIEKSNI</w:t>
      </w:r>
      <w:bookmarkEnd w:id="35"/>
      <w:bookmarkEnd w:id="36"/>
    </w:p>
    <w:p w14:paraId="4BF1269C" w14:textId="20A12A64"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Programmēšanas perioda un </w:t>
      </w:r>
      <w:r w:rsidR="00A94689">
        <w:rPr>
          <w:rFonts w:ascii="Times New Roman" w:hAnsi="Times New Roman"/>
          <w:sz w:val="24"/>
          <w:szCs w:val="24"/>
          <w:lang w:val="lv-LV"/>
        </w:rPr>
        <w:t>Dotāciju</w:t>
      </w:r>
      <w:r w:rsidRPr="004C576C">
        <w:rPr>
          <w:rFonts w:ascii="Times New Roman" w:hAnsi="Times New Roman"/>
          <w:sz w:val="24"/>
          <w:szCs w:val="24"/>
          <w:lang w:val="lv-LV"/>
        </w:rPr>
        <w:t xml:space="preserve"> </w:t>
      </w:r>
      <w:r w:rsidR="00A94689">
        <w:rPr>
          <w:rFonts w:ascii="Times New Roman" w:hAnsi="Times New Roman"/>
          <w:sz w:val="24"/>
          <w:szCs w:val="24"/>
          <w:lang w:val="lv-LV"/>
        </w:rPr>
        <w:t>no</w:t>
      </w:r>
      <w:r w:rsidRPr="004C576C">
        <w:rPr>
          <w:rFonts w:ascii="Times New Roman" w:hAnsi="Times New Roman"/>
          <w:sz w:val="24"/>
          <w:szCs w:val="24"/>
          <w:lang w:val="lv-LV"/>
        </w:rPr>
        <w:t xml:space="preserve">līguma nobeigumā, kad veiktas visas iespējamās kontroles un revīzijas, Luksemburgas Lielhercogiste mobilizē visu finansējumu, kas nepieciešams, lai segtu neattiecināmo izdevumu </w:t>
      </w:r>
      <w:r>
        <w:rPr>
          <w:rFonts w:ascii="Times New Roman" w:hAnsi="Times New Roman"/>
          <w:sz w:val="24"/>
          <w:szCs w:val="24"/>
          <w:lang w:val="lv-LV"/>
        </w:rPr>
        <w:t>A</w:t>
      </w:r>
      <w:r w:rsidRPr="004C576C">
        <w:rPr>
          <w:rFonts w:ascii="Times New Roman" w:hAnsi="Times New Roman"/>
          <w:sz w:val="24"/>
          <w:szCs w:val="24"/>
          <w:lang w:val="lv-LV"/>
        </w:rPr>
        <w:t>tbildības gadījumus, kas pārsniedz Atbildības mehānisma 2 % budžetu. Šīs saistības sasaucas ar Luksemburgas Lielhercogistes pienākumiem kā valstij, kurā atrodas ESPON ETSG.</w:t>
      </w:r>
    </w:p>
    <w:p w14:paraId="7D631E50" w14:textId="77777777" w:rsidR="00CF5E67" w:rsidRPr="004C576C" w:rsidRDefault="00CF5E67" w:rsidP="00CF5E67">
      <w:pPr>
        <w:pStyle w:val="Heading2"/>
        <w:rPr>
          <w:rFonts w:ascii="Times New Roman" w:hAnsi="Times New Roman"/>
          <w:sz w:val="24"/>
          <w:szCs w:val="24"/>
          <w:lang w:val="lv-LV"/>
        </w:rPr>
      </w:pPr>
      <w:bookmarkStart w:id="37" w:name="_Toc429386308"/>
      <w:bookmarkStart w:id="38" w:name="_Toc83667691"/>
      <w:r w:rsidRPr="004C576C">
        <w:rPr>
          <w:rFonts w:ascii="Times New Roman" w:hAnsi="Times New Roman"/>
          <w:sz w:val="24"/>
          <w:szCs w:val="24"/>
          <w:lang w:val="lv-LV"/>
        </w:rPr>
        <w:t>5.5 – ATBILDĪBAS MEHĀNISMA SLĒGŠANA: ATLIKUŠĀ BUDŽETA PĀRSKAITĪŠANA ATPAKAĻ</w:t>
      </w:r>
      <w:bookmarkEnd w:id="37"/>
      <w:bookmarkEnd w:id="38"/>
    </w:p>
    <w:p w14:paraId="5E8ED5A0" w14:textId="0EE1B9D1"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Programmēšanas perioda beigās un pēc tam, kad </w:t>
      </w:r>
      <w:r w:rsidR="00A94689">
        <w:rPr>
          <w:rFonts w:ascii="Times New Roman" w:hAnsi="Times New Roman"/>
          <w:sz w:val="24"/>
          <w:szCs w:val="24"/>
          <w:lang w:val="lv-LV"/>
        </w:rPr>
        <w:t>Dotāciju</w:t>
      </w:r>
      <w:r w:rsidRPr="004C576C">
        <w:rPr>
          <w:rFonts w:ascii="Times New Roman" w:hAnsi="Times New Roman"/>
          <w:sz w:val="24"/>
          <w:szCs w:val="24"/>
          <w:lang w:val="lv-LV"/>
        </w:rPr>
        <w:t xml:space="preserve"> </w:t>
      </w:r>
      <w:r w:rsidR="00A94689">
        <w:rPr>
          <w:rFonts w:ascii="Times New Roman" w:hAnsi="Times New Roman"/>
          <w:sz w:val="24"/>
          <w:szCs w:val="24"/>
          <w:lang w:val="lv-LV"/>
        </w:rPr>
        <w:t>no</w:t>
      </w:r>
      <w:r w:rsidRPr="004C576C">
        <w:rPr>
          <w:rFonts w:ascii="Times New Roman" w:hAnsi="Times New Roman"/>
          <w:sz w:val="24"/>
          <w:szCs w:val="24"/>
          <w:lang w:val="lv-LV"/>
        </w:rPr>
        <w:t>līgum</w:t>
      </w:r>
      <w:r>
        <w:rPr>
          <w:rFonts w:ascii="Times New Roman" w:hAnsi="Times New Roman"/>
          <w:sz w:val="24"/>
          <w:szCs w:val="24"/>
          <w:lang w:val="lv-LV"/>
        </w:rPr>
        <w:t>a ieviešana</w:t>
      </w:r>
      <w:r w:rsidRPr="004C576C">
        <w:rPr>
          <w:rFonts w:ascii="Times New Roman" w:hAnsi="Times New Roman"/>
          <w:sz w:val="24"/>
          <w:szCs w:val="24"/>
          <w:lang w:val="lv-LV"/>
        </w:rPr>
        <w:t xml:space="preserve"> ir noslēgta un ir veiktas visas iespējamās pārbaudes, kontroles un revīzijas, un kad ir ticis izdots 6.5. punktā paredzētais noslēguma ziņojums, viss neizmantotais Atbildības mehānisma finansējums tiks pārskaitīts atpakaļ ES dalībvalstīm proporcionāli to attiecīgajām iepriekšējām iemaksām</w:t>
      </w:r>
      <w:r>
        <w:rPr>
          <w:rFonts w:ascii="Times New Roman" w:hAnsi="Times New Roman"/>
          <w:sz w:val="24"/>
          <w:szCs w:val="24"/>
          <w:lang w:val="lv-LV"/>
        </w:rPr>
        <w:t xml:space="preserve"> vai, ja pēc “ESPON 2030” programmas noslēguma tiek uzsākta jauna ESPON Sadarbības programma, Uzraudzības komiteja var lemt par atlikušās summas pārcelšanu uz nākamās programmas Atbildības mehānismu.</w:t>
      </w:r>
    </w:p>
    <w:p w14:paraId="28A650FD" w14:textId="77777777" w:rsidR="00CF5E67" w:rsidRPr="004C576C" w:rsidRDefault="00CF5E67" w:rsidP="00CF5E67">
      <w:pPr>
        <w:pStyle w:val="Heading2"/>
        <w:rPr>
          <w:rFonts w:ascii="Times New Roman" w:hAnsi="Times New Roman"/>
          <w:sz w:val="24"/>
          <w:szCs w:val="24"/>
          <w:lang w:val="lv-LV"/>
        </w:rPr>
      </w:pPr>
      <w:bookmarkStart w:id="39" w:name="_Toc429386309"/>
      <w:bookmarkStart w:id="40" w:name="_Toc83667692"/>
      <w:r w:rsidRPr="004C576C">
        <w:rPr>
          <w:rFonts w:ascii="Times New Roman" w:hAnsi="Times New Roman"/>
          <w:sz w:val="24"/>
          <w:szCs w:val="24"/>
          <w:lang w:val="lv-LV"/>
        </w:rPr>
        <w:t>5.6. – MAKSAS UN PROCENTI</w:t>
      </w:r>
      <w:bookmarkEnd w:id="39"/>
      <w:bookmarkEnd w:id="40"/>
    </w:p>
    <w:p w14:paraId="0F7DC90A" w14:textId="77777777"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Nekādas maksas par Atbildības mehānisma administrēšanu, uzturēšanu un darbināšanu un par Fonda uzturēšanu netiek piemērotas. Tāpat Atbildības mehānisms neģenerē procentus.</w:t>
      </w:r>
    </w:p>
    <w:p w14:paraId="679630EA" w14:textId="77777777" w:rsidR="00CF5E67" w:rsidRPr="004C576C" w:rsidRDefault="00CF5E67" w:rsidP="00CF5E67">
      <w:pPr>
        <w:pStyle w:val="Heading2"/>
        <w:rPr>
          <w:rFonts w:ascii="Times New Roman" w:hAnsi="Times New Roman"/>
          <w:sz w:val="24"/>
          <w:szCs w:val="24"/>
          <w:lang w:val="lv-LV"/>
        </w:rPr>
      </w:pPr>
      <w:bookmarkStart w:id="41" w:name="_Toc429386310"/>
      <w:bookmarkStart w:id="42" w:name="_Toc83667693"/>
      <w:r w:rsidRPr="004C576C">
        <w:rPr>
          <w:rFonts w:ascii="Times New Roman" w:hAnsi="Times New Roman"/>
          <w:sz w:val="24"/>
          <w:szCs w:val="24"/>
          <w:lang w:val="lv-LV"/>
        </w:rPr>
        <w:t>5.7 – PARTNERVALSTU LOMA ATBILDĪBAS MEHĀNISMĀ</w:t>
      </w:r>
      <w:bookmarkEnd w:id="41"/>
      <w:bookmarkEnd w:id="42"/>
    </w:p>
    <w:p w14:paraId="07DF6843" w14:textId="5AA02799"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Finansējums, ko partnervalstis nodrošinājušas kā iemaksas </w:t>
      </w:r>
      <w:r>
        <w:rPr>
          <w:rFonts w:ascii="Times New Roman" w:hAnsi="Times New Roman"/>
          <w:sz w:val="24"/>
          <w:szCs w:val="24"/>
          <w:lang w:val="lv-LV"/>
        </w:rPr>
        <w:t>“</w:t>
      </w:r>
      <w:r w:rsidRPr="004C576C">
        <w:rPr>
          <w:rFonts w:ascii="Times New Roman" w:hAnsi="Times New Roman"/>
          <w:sz w:val="24"/>
          <w:szCs w:val="24"/>
          <w:lang w:val="lv-LV"/>
        </w:rPr>
        <w:t>ESPON 20</w:t>
      </w:r>
      <w:r>
        <w:rPr>
          <w:rFonts w:ascii="Times New Roman" w:hAnsi="Times New Roman"/>
          <w:sz w:val="24"/>
          <w:szCs w:val="24"/>
          <w:lang w:val="lv-LV"/>
        </w:rPr>
        <w:t>3</w:t>
      </w:r>
      <w:r w:rsidRPr="004C576C">
        <w:rPr>
          <w:rFonts w:ascii="Times New Roman" w:hAnsi="Times New Roman"/>
          <w:sz w:val="24"/>
          <w:szCs w:val="24"/>
          <w:lang w:val="lv-LV"/>
        </w:rPr>
        <w:t>0</w:t>
      </w:r>
      <w:r>
        <w:rPr>
          <w:rFonts w:ascii="Times New Roman" w:hAnsi="Times New Roman"/>
          <w:sz w:val="24"/>
          <w:szCs w:val="24"/>
          <w:lang w:val="lv-LV"/>
        </w:rPr>
        <w:t>”</w:t>
      </w:r>
      <w:r w:rsidRPr="004C576C">
        <w:rPr>
          <w:rFonts w:ascii="Times New Roman" w:hAnsi="Times New Roman"/>
          <w:sz w:val="24"/>
          <w:szCs w:val="24"/>
          <w:lang w:val="lv-LV"/>
        </w:rPr>
        <w:t xml:space="preserve"> programmā, netiek izmantots, lai līdzfinansētu ERAF dotācijas. Tāpēc neattiecināmos izdevumus ERAF Regulas nozīmē </w:t>
      </w:r>
      <w:r>
        <w:rPr>
          <w:rFonts w:ascii="Times New Roman" w:hAnsi="Times New Roman"/>
          <w:sz w:val="24"/>
          <w:szCs w:val="24"/>
          <w:lang w:val="lv-LV"/>
        </w:rPr>
        <w:t xml:space="preserve">partnervalstīm </w:t>
      </w:r>
      <w:r w:rsidRPr="004C576C">
        <w:rPr>
          <w:rFonts w:ascii="Times New Roman" w:hAnsi="Times New Roman"/>
          <w:sz w:val="24"/>
          <w:szCs w:val="24"/>
          <w:lang w:val="lv-LV"/>
        </w:rPr>
        <w:t>nav nepieciešams atmaksāt</w:t>
      </w:r>
      <w:r w:rsidR="008B55D7">
        <w:rPr>
          <w:rFonts w:ascii="Times New Roman" w:hAnsi="Times New Roman"/>
          <w:sz w:val="24"/>
          <w:szCs w:val="24"/>
          <w:lang w:val="lv-LV"/>
        </w:rPr>
        <w:t>.</w:t>
      </w:r>
    </w:p>
    <w:p w14:paraId="20AF915B" w14:textId="77777777" w:rsidR="00CF5E67" w:rsidRPr="004C576C" w:rsidRDefault="00CF5E67" w:rsidP="00CF5E67">
      <w:pPr>
        <w:pStyle w:val="Heading1"/>
        <w:rPr>
          <w:rFonts w:ascii="Times New Roman" w:hAnsi="Times New Roman"/>
          <w:szCs w:val="24"/>
          <w:lang w:val="lv-LV"/>
        </w:rPr>
      </w:pPr>
      <w:bookmarkStart w:id="43" w:name="_Toc429386311"/>
      <w:bookmarkStart w:id="44" w:name="_Toc83667694"/>
      <w:r w:rsidRPr="004C576C">
        <w:rPr>
          <w:rFonts w:ascii="Times New Roman" w:hAnsi="Times New Roman"/>
          <w:szCs w:val="24"/>
          <w:lang w:val="lv-LV"/>
        </w:rPr>
        <w:t>6. NODAĻA. LOMAS UN KĀRTĪBAS ATTIECĪBA UZ ATBILDĪBAS MEHĀNISMA FUNKCIONĒŠANU</w:t>
      </w:r>
      <w:bookmarkEnd w:id="43"/>
      <w:bookmarkEnd w:id="44"/>
    </w:p>
    <w:p w14:paraId="0A6820AF" w14:textId="77777777" w:rsidR="00CF5E67" w:rsidRPr="004C576C" w:rsidRDefault="00CF5E67" w:rsidP="00CF5E67">
      <w:pPr>
        <w:pStyle w:val="Heading2"/>
        <w:rPr>
          <w:rFonts w:ascii="Times New Roman" w:hAnsi="Times New Roman"/>
          <w:sz w:val="24"/>
          <w:szCs w:val="24"/>
          <w:lang w:val="lv-LV"/>
        </w:rPr>
      </w:pPr>
      <w:bookmarkStart w:id="45" w:name="_Toc429386312"/>
      <w:bookmarkStart w:id="46" w:name="_Toc83667695"/>
      <w:r w:rsidRPr="004C576C">
        <w:rPr>
          <w:rFonts w:ascii="Times New Roman" w:hAnsi="Times New Roman"/>
          <w:sz w:val="24"/>
          <w:szCs w:val="24"/>
          <w:lang w:val="lv-LV"/>
        </w:rPr>
        <w:t>6.1 – EKONOMISKA ADMINISTRĒŠANA UN KOPĪGA UZRAUDZĪBA</w:t>
      </w:r>
      <w:bookmarkEnd w:id="45"/>
      <w:bookmarkEnd w:id="46"/>
    </w:p>
    <w:p w14:paraId="57BA9E22" w14:textId="386C712B"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Lai nodrošinātu Atbildības mehānisma ekonomisku administrēšanu un kopīgu uzraudzību no dalībvalstu puses, Atbildības mehānisma darbības iekārtojums precīzi “atspoguļo” dažus no pasākumiem, kas izveidoti </w:t>
      </w:r>
      <w:r>
        <w:rPr>
          <w:rFonts w:ascii="Times New Roman" w:hAnsi="Times New Roman"/>
          <w:sz w:val="24"/>
          <w:szCs w:val="24"/>
          <w:lang w:val="lv-LV"/>
        </w:rPr>
        <w:t>“</w:t>
      </w:r>
      <w:r w:rsidRPr="004C576C">
        <w:rPr>
          <w:rFonts w:ascii="Times New Roman" w:hAnsi="Times New Roman"/>
          <w:sz w:val="24"/>
          <w:szCs w:val="24"/>
          <w:lang w:val="lv-LV"/>
        </w:rPr>
        <w:t>ESPON 20</w:t>
      </w:r>
      <w:r>
        <w:rPr>
          <w:rFonts w:ascii="Times New Roman" w:hAnsi="Times New Roman"/>
          <w:sz w:val="24"/>
          <w:szCs w:val="24"/>
          <w:lang w:val="lv-LV"/>
        </w:rPr>
        <w:t>3</w:t>
      </w:r>
      <w:r w:rsidRPr="004C576C">
        <w:rPr>
          <w:rFonts w:ascii="Times New Roman" w:hAnsi="Times New Roman"/>
          <w:sz w:val="24"/>
          <w:szCs w:val="24"/>
          <w:lang w:val="lv-LV"/>
        </w:rPr>
        <w:t>0</w:t>
      </w:r>
      <w:r>
        <w:rPr>
          <w:rFonts w:ascii="Times New Roman" w:hAnsi="Times New Roman"/>
          <w:sz w:val="24"/>
          <w:szCs w:val="24"/>
          <w:lang w:val="lv-LV"/>
        </w:rPr>
        <w:t>”</w:t>
      </w:r>
      <w:r w:rsidRPr="004C576C">
        <w:rPr>
          <w:rFonts w:ascii="Times New Roman" w:hAnsi="Times New Roman"/>
          <w:sz w:val="24"/>
          <w:szCs w:val="24"/>
          <w:lang w:val="lv-LV"/>
        </w:rPr>
        <w:t xml:space="preserve"> programmai un ESPON ETSG.</w:t>
      </w:r>
    </w:p>
    <w:p w14:paraId="2D515FE9" w14:textId="77777777" w:rsidR="00CF5E67" w:rsidRPr="004C576C" w:rsidRDefault="00CF5E67" w:rsidP="00CF5E67">
      <w:pPr>
        <w:pStyle w:val="Heading2"/>
        <w:rPr>
          <w:rFonts w:ascii="Times New Roman" w:hAnsi="Times New Roman"/>
          <w:sz w:val="24"/>
          <w:szCs w:val="24"/>
          <w:lang w:val="lv-LV"/>
        </w:rPr>
      </w:pPr>
      <w:bookmarkStart w:id="47" w:name="_Toc429386313"/>
      <w:bookmarkStart w:id="48" w:name="_Toc83667696"/>
      <w:r w:rsidRPr="004C576C">
        <w:rPr>
          <w:rFonts w:ascii="Times New Roman" w:hAnsi="Times New Roman"/>
          <w:sz w:val="24"/>
          <w:szCs w:val="24"/>
          <w:lang w:val="lv-LV"/>
        </w:rPr>
        <w:t>6.2 – PAR ATBILDĪBAS MEHĀNISMU ATBILDĪGĀS STRUKTŪRAS</w:t>
      </w:r>
      <w:bookmarkEnd w:id="47"/>
      <w:bookmarkEnd w:id="48"/>
    </w:p>
    <w:p w14:paraId="25D93427" w14:textId="5C8AB8CC"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u w:val="single"/>
          <w:lang w:val="lv-LV"/>
        </w:rPr>
        <w:t>Atbildības mehānisma Vadības komitej</w:t>
      </w:r>
      <w:r w:rsidR="003925EE">
        <w:rPr>
          <w:rFonts w:ascii="Times New Roman" w:hAnsi="Times New Roman"/>
          <w:sz w:val="24"/>
          <w:szCs w:val="24"/>
          <w:u w:val="single"/>
          <w:lang w:val="lv-LV"/>
        </w:rPr>
        <w:t>a</w:t>
      </w:r>
      <w:r w:rsidRPr="004C576C">
        <w:rPr>
          <w:rFonts w:ascii="Times New Roman" w:hAnsi="Times New Roman"/>
          <w:sz w:val="24"/>
          <w:szCs w:val="24"/>
          <w:lang w:val="lv-LV"/>
        </w:rPr>
        <w:t xml:space="preserve"> ir atbildīga par Atbildības mehānisma uzraudzību. Atbildības mehānisma Vadības komiteja tiek izveidota no ESPON Uzraudzības komitejas dalībniekiem. Atbildības mehānisma Vadības komiteja darbojas neatkarīgi no ESPON Uzraudzības komitejas lomas un funkcijām. Atbildības mehānisma Vadības komitejas loma ir uzraudzīt katra atmaksāšanas gadījuma, kas jāveic ESPON ETSG, apstākļus.</w:t>
      </w:r>
    </w:p>
    <w:p w14:paraId="18B29316" w14:textId="77777777"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lastRenderedPageBreak/>
        <w:t>Atbildības</w:t>
      </w:r>
      <w:r>
        <w:rPr>
          <w:rFonts w:ascii="Times New Roman" w:hAnsi="Times New Roman"/>
          <w:sz w:val="24"/>
          <w:szCs w:val="24"/>
          <w:lang w:val="lv-LV"/>
        </w:rPr>
        <w:t xml:space="preserve"> </w:t>
      </w:r>
      <w:r w:rsidRPr="004C576C">
        <w:rPr>
          <w:rFonts w:ascii="Times New Roman" w:hAnsi="Times New Roman"/>
          <w:sz w:val="24"/>
          <w:szCs w:val="24"/>
          <w:lang w:val="lv-LV"/>
        </w:rPr>
        <w:t xml:space="preserve">mehānisma Vadības komiteja sanāk uz sēdi vismaz reizi kalendārajā gadā, reizē ar ESPON Uzraudzības komitejas sēdi. Lēmumu pieņemšanai nepieciešams divu trešdaļu piedalīšanās kvorums. Komiteja darbojas arī izmantojot rakstveida procedūras un „noklusējuma saskaņojumu”. Komiteja cenšas lēmumus pieņemt vienbalsīgi. Gadījumā, ja sēdes laikā vai rakstveida procesā </w:t>
      </w:r>
      <w:r>
        <w:rPr>
          <w:rFonts w:ascii="Times New Roman" w:hAnsi="Times New Roman"/>
          <w:sz w:val="24"/>
          <w:szCs w:val="24"/>
          <w:lang w:val="lv-LV"/>
        </w:rPr>
        <w:t>divu</w:t>
      </w:r>
      <w:r w:rsidRPr="004C576C">
        <w:rPr>
          <w:rFonts w:ascii="Times New Roman" w:hAnsi="Times New Roman"/>
          <w:sz w:val="24"/>
          <w:szCs w:val="24"/>
          <w:lang w:val="lv-LV"/>
        </w:rPr>
        <w:t xml:space="preserve"> nedēļu laikā neizdodas panākt vienprātību, piemērojams divu trešdaļu balsu vairākums. </w:t>
      </w:r>
    </w:p>
    <w:p w14:paraId="15C18172" w14:textId="176EA3E0"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Struktūra, kas ir atbildīga par Atbildības mehānismu administratīvā ziņā, ir </w:t>
      </w:r>
      <w:r>
        <w:rPr>
          <w:rFonts w:ascii="Times New Roman" w:hAnsi="Times New Roman"/>
          <w:sz w:val="24"/>
          <w:szCs w:val="24"/>
          <w:lang w:val="lv-LV"/>
        </w:rPr>
        <w:t>“</w:t>
      </w:r>
      <w:r w:rsidRPr="004C576C">
        <w:rPr>
          <w:rFonts w:ascii="Times New Roman" w:hAnsi="Times New Roman"/>
          <w:sz w:val="24"/>
          <w:szCs w:val="24"/>
          <w:lang w:val="lv-LV"/>
        </w:rPr>
        <w:t>ESPON 20</w:t>
      </w:r>
      <w:r>
        <w:rPr>
          <w:rFonts w:ascii="Times New Roman" w:hAnsi="Times New Roman"/>
          <w:sz w:val="24"/>
          <w:szCs w:val="24"/>
          <w:lang w:val="lv-LV"/>
        </w:rPr>
        <w:t>3</w:t>
      </w:r>
      <w:r w:rsidRPr="004C576C">
        <w:rPr>
          <w:rFonts w:ascii="Times New Roman" w:hAnsi="Times New Roman"/>
          <w:sz w:val="24"/>
          <w:szCs w:val="24"/>
          <w:lang w:val="lv-LV"/>
        </w:rPr>
        <w:t>0</w:t>
      </w:r>
      <w:r>
        <w:rPr>
          <w:rFonts w:ascii="Times New Roman" w:hAnsi="Times New Roman"/>
          <w:sz w:val="24"/>
          <w:szCs w:val="24"/>
          <w:lang w:val="lv-LV"/>
        </w:rPr>
        <w:t>”</w:t>
      </w:r>
      <w:r w:rsidRPr="004C576C">
        <w:rPr>
          <w:rFonts w:ascii="Times New Roman" w:hAnsi="Times New Roman"/>
          <w:sz w:val="24"/>
          <w:szCs w:val="24"/>
          <w:lang w:val="lv-LV"/>
        </w:rPr>
        <w:t xml:space="preserve"> programmas Vadošā iestāde atbild par Atbildības mehānisma ikdienas vadību saskaņā ar 6.3. punktu.</w:t>
      </w:r>
    </w:p>
    <w:p w14:paraId="3B8FACB5" w14:textId="77777777"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Par ar Atbildības mehānismu saistītā Fonda fizisku uzturēšanu atbildīgā institūcijas ir Luksemburgas Valsts kase (</w:t>
      </w:r>
      <w:proofErr w:type="spellStart"/>
      <w:r w:rsidRPr="004C576C">
        <w:rPr>
          <w:rFonts w:ascii="Times New Roman" w:hAnsi="Times New Roman"/>
          <w:i/>
          <w:sz w:val="24"/>
          <w:szCs w:val="24"/>
          <w:lang w:val="lv-LV"/>
        </w:rPr>
        <w:t>Trésorerie</w:t>
      </w:r>
      <w:proofErr w:type="spellEnd"/>
      <w:r w:rsidRPr="004C576C">
        <w:rPr>
          <w:rFonts w:ascii="Times New Roman" w:hAnsi="Times New Roman"/>
          <w:i/>
          <w:sz w:val="24"/>
          <w:szCs w:val="24"/>
          <w:lang w:val="lv-LV"/>
        </w:rPr>
        <w:t xml:space="preserve"> </w:t>
      </w:r>
      <w:proofErr w:type="spellStart"/>
      <w:r w:rsidRPr="004C576C">
        <w:rPr>
          <w:rFonts w:ascii="Times New Roman" w:hAnsi="Times New Roman"/>
          <w:i/>
          <w:sz w:val="24"/>
          <w:szCs w:val="24"/>
          <w:lang w:val="lv-LV"/>
        </w:rPr>
        <w:t>d’Etat</w:t>
      </w:r>
      <w:proofErr w:type="spellEnd"/>
      <w:r w:rsidRPr="004C576C">
        <w:rPr>
          <w:rFonts w:ascii="Times New Roman" w:hAnsi="Times New Roman"/>
          <w:i/>
          <w:sz w:val="24"/>
          <w:szCs w:val="24"/>
          <w:lang w:val="lv-LV"/>
        </w:rPr>
        <w:t xml:space="preserve"> </w:t>
      </w:r>
      <w:proofErr w:type="spellStart"/>
      <w:r w:rsidRPr="004C576C">
        <w:rPr>
          <w:rFonts w:ascii="Times New Roman" w:hAnsi="Times New Roman"/>
          <w:i/>
          <w:sz w:val="24"/>
          <w:szCs w:val="24"/>
          <w:lang w:val="lv-LV"/>
        </w:rPr>
        <w:t>du</w:t>
      </w:r>
      <w:proofErr w:type="spellEnd"/>
      <w:r w:rsidRPr="004C576C">
        <w:rPr>
          <w:rFonts w:ascii="Times New Roman" w:hAnsi="Times New Roman"/>
          <w:i/>
          <w:sz w:val="24"/>
          <w:szCs w:val="24"/>
          <w:lang w:val="lv-LV"/>
        </w:rPr>
        <w:t xml:space="preserve"> </w:t>
      </w:r>
      <w:proofErr w:type="spellStart"/>
      <w:r w:rsidRPr="004C576C">
        <w:rPr>
          <w:rFonts w:ascii="Times New Roman" w:hAnsi="Times New Roman"/>
          <w:i/>
          <w:sz w:val="24"/>
          <w:szCs w:val="24"/>
          <w:lang w:val="lv-LV"/>
        </w:rPr>
        <w:t>Luxembourg</w:t>
      </w:r>
      <w:proofErr w:type="spellEnd"/>
      <w:r w:rsidRPr="004C576C">
        <w:rPr>
          <w:rFonts w:ascii="Times New Roman" w:hAnsi="Times New Roman"/>
          <w:sz w:val="24"/>
          <w:szCs w:val="24"/>
          <w:lang w:val="lv-LV"/>
        </w:rPr>
        <w:t>). Valsts kase saņem iemaksas un veic maksājumus, pamatojoties uz pieprasījumiem, kas saņemti 6.3. punktā aprakstītajā kārtībā.</w:t>
      </w:r>
    </w:p>
    <w:p w14:paraId="11E181BC" w14:textId="77777777" w:rsidR="00CF5E67" w:rsidRPr="004C576C" w:rsidRDefault="00CF5E67" w:rsidP="00CF5E67">
      <w:pPr>
        <w:pStyle w:val="Heading2"/>
        <w:rPr>
          <w:rFonts w:ascii="Times New Roman" w:hAnsi="Times New Roman"/>
          <w:sz w:val="24"/>
          <w:szCs w:val="24"/>
          <w:lang w:val="lv-LV"/>
        </w:rPr>
      </w:pPr>
      <w:bookmarkStart w:id="49" w:name="_Toc429386314"/>
      <w:bookmarkStart w:id="50" w:name="_Toc83667697"/>
      <w:r w:rsidRPr="004C576C">
        <w:rPr>
          <w:rFonts w:ascii="Times New Roman" w:hAnsi="Times New Roman"/>
          <w:sz w:val="24"/>
          <w:szCs w:val="24"/>
          <w:lang w:val="lv-LV"/>
        </w:rPr>
        <w:t>6.3 – ATBILDĪBAS</w:t>
      </w:r>
      <w:r>
        <w:rPr>
          <w:rFonts w:ascii="Times New Roman" w:hAnsi="Times New Roman"/>
          <w:sz w:val="24"/>
          <w:szCs w:val="24"/>
          <w:lang w:val="lv-LV"/>
        </w:rPr>
        <w:t xml:space="preserve"> </w:t>
      </w:r>
      <w:r w:rsidRPr="004C576C">
        <w:rPr>
          <w:rFonts w:ascii="Times New Roman" w:hAnsi="Times New Roman"/>
          <w:sz w:val="24"/>
          <w:szCs w:val="24"/>
          <w:lang w:val="lv-LV"/>
        </w:rPr>
        <w:t>MEHĀNISMA FUNKCIONĒŠANA</w:t>
      </w:r>
      <w:bookmarkEnd w:id="49"/>
      <w:bookmarkEnd w:id="50"/>
      <w:r w:rsidRPr="004C576C">
        <w:rPr>
          <w:rFonts w:ascii="Times New Roman" w:hAnsi="Times New Roman"/>
          <w:sz w:val="24"/>
          <w:szCs w:val="24"/>
          <w:lang w:val="lv-LV"/>
        </w:rPr>
        <w:t xml:space="preserve"> </w:t>
      </w:r>
    </w:p>
    <w:p w14:paraId="133AC4F1" w14:textId="3167DEDF" w:rsidR="00CF5E67" w:rsidRPr="004C576C" w:rsidRDefault="00CF5E67" w:rsidP="00CF5E67">
      <w:pPr>
        <w:pStyle w:val="NoSpacing"/>
        <w:spacing w:after="120" w:line="276" w:lineRule="auto"/>
        <w:jc w:val="both"/>
        <w:rPr>
          <w:rFonts w:ascii="Times New Roman" w:hAnsi="Times New Roman"/>
          <w:sz w:val="24"/>
          <w:szCs w:val="24"/>
          <w:lang w:val="lv-LV"/>
        </w:rPr>
      </w:pPr>
      <w:r>
        <w:rPr>
          <w:rFonts w:ascii="Times New Roman" w:hAnsi="Times New Roman"/>
          <w:sz w:val="24"/>
          <w:szCs w:val="24"/>
          <w:lang w:val="lv-LV"/>
        </w:rPr>
        <w:t>“</w:t>
      </w:r>
      <w:r w:rsidRPr="004C576C">
        <w:rPr>
          <w:rFonts w:ascii="Times New Roman" w:hAnsi="Times New Roman"/>
          <w:sz w:val="24"/>
          <w:szCs w:val="24"/>
          <w:lang w:val="lv-LV"/>
        </w:rPr>
        <w:t>ESPON 20</w:t>
      </w:r>
      <w:r>
        <w:rPr>
          <w:rFonts w:ascii="Times New Roman" w:hAnsi="Times New Roman"/>
          <w:sz w:val="24"/>
          <w:szCs w:val="24"/>
          <w:lang w:val="lv-LV"/>
        </w:rPr>
        <w:t>3</w:t>
      </w:r>
      <w:r w:rsidRPr="004C576C">
        <w:rPr>
          <w:rFonts w:ascii="Times New Roman" w:hAnsi="Times New Roman"/>
          <w:sz w:val="24"/>
          <w:szCs w:val="24"/>
          <w:lang w:val="lv-LV"/>
        </w:rPr>
        <w:t>0</w:t>
      </w:r>
      <w:r>
        <w:rPr>
          <w:rFonts w:ascii="Times New Roman" w:hAnsi="Times New Roman"/>
          <w:sz w:val="24"/>
          <w:szCs w:val="24"/>
          <w:lang w:val="lv-LV"/>
        </w:rPr>
        <w:t>”</w:t>
      </w:r>
      <w:r w:rsidRPr="004C576C">
        <w:rPr>
          <w:rFonts w:ascii="Times New Roman" w:hAnsi="Times New Roman"/>
          <w:sz w:val="24"/>
          <w:szCs w:val="24"/>
          <w:lang w:val="lv-LV"/>
        </w:rPr>
        <w:t xml:space="preserve"> programmas </w:t>
      </w:r>
      <w:r w:rsidR="00A94689">
        <w:rPr>
          <w:rFonts w:ascii="Times New Roman" w:hAnsi="Times New Roman"/>
          <w:sz w:val="24"/>
          <w:szCs w:val="24"/>
          <w:lang w:val="lv-LV"/>
        </w:rPr>
        <w:t>Dotāciju</w:t>
      </w:r>
      <w:r w:rsidRPr="004C576C">
        <w:rPr>
          <w:rFonts w:ascii="Times New Roman" w:hAnsi="Times New Roman"/>
          <w:sz w:val="24"/>
          <w:szCs w:val="24"/>
          <w:lang w:val="lv-LV"/>
        </w:rPr>
        <w:t xml:space="preserve"> </w:t>
      </w:r>
      <w:r w:rsidR="00A94689">
        <w:rPr>
          <w:rFonts w:ascii="Times New Roman" w:hAnsi="Times New Roman"/>
          <w:sz w:val="24"/>
          <w:szCs w:val="24"/>
          <w:lang w:val="lv-LV"/>
        </w:rPr>
        <w:t>no</w:t>
      </w:r>
      <w:r w:rsidRPr="004C576C">
        <w:rPr>
          <w:rFonts w:ascii="Times New Roman" w:hAnsi="Times New Roman"/>
          <w:sz w:val="24"/>
          <w:szCs w:val="24"/>
          <w:lang w:val="lv-LV"/>
        </w:rPr>
        <w:t xml:space="preserve">līgumā Vadošajai iestādei jāiekļauj pants par </w:t>
      </w:r>
      <w:r w:rsidRPr="004C576C">
        <w:rPr>
          <w:rFonts w:ascii="Times New Roman" w:hAnsi="Times New Roman"/>
          <w:sz w:val="24"/>
          <w:szCs w:val="24"/>
          <w:u w:val="single"/>
          <w:lang w:val="lv-LV"/>
        </w:rPr>
        <w:t>“Atbildību un vienošanos par atmaksāšanu</w:t>
      </w:r>
      <w:r w:rsidRPr="004C576C">
        <w:rPr>
          <w:rFonts w:ascii="Times New Roman" w:hAnsi="Times New Roman"/>
          <w:sz w:val="24"/>
          <w:szCs w:val="24"/>
          <w:lang w:val="lv-LV"/>
        </w:rPr>
        <w:t>” ar ESPON ETSG, kas nosaka Atbildības gadījumu nosacījumus un atmaksāšanas kārtību, kā izklāstīts 4. nodaļā.</w:t>
      </w:r>
    </w:p>
    <w:p w14:paraId="50A21B81" w14:textId="77777777" w:rsidR="00CF5E67"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Gadījumā, ja rodas neattiecināmie izdevumi 3.1. punkta izpratnē, ESPON ETSG ir jānosūta Vadošajai iestādei pieprasījums atmaksāt šos izdevumus no Atbildības mehānisma. </w:t>
      </w:r>
    </w:p>
    <w:p w14:paraId="7606086A" w14:textId="2C09D85E" w:rsidR="00CF5E67" w:rsidRPr="004C576C" w:rsidRDefault="00CF5E67" w:rsidP="00CF5E67">
      <w:pPr>
        <w:pStyle w:val="NoSpacing"/>
        <w:spacing w:after="120" w:line="276" w:lineRule="auto"/>
        <w:jc w:val="both"/>
        <w:rPr>
          <w:rFonts w:ascii="Times New Roman" w:hAnsi="Times New Roman"/>
          <w:sz w:val="24"/>
          <w:szCs w:val="24"/>
          <w:lang w:val="lv-LV"/>
        </w:rPr>
      </w:pPr>
      <w:r w:rsidRPr="00DD7649">
        <w:rPr>
          <w:rStyle w:val="word"/>
          <w:rFonts w:ascii="Times New Roman" w:hAnsi="Times New Roman"/>
          <w:spacing w:val="3"/>
          <w:sz w:val="24"/>
          <w:szCs w:val="24"/>
          <w:lang w:val="lv-LV"/>
        </w:rPr>
        <w:t>Saistībā ar iespējamo Atbildības gadījumu summu aprēķināšanu ESPON ETSG par faktiskajām izmaksām ziņo tikai saistībā ar ārējo ekspertīzi, kas saistīta ar datu ieguves un analīzes pakalpojumiem. Jebkuru citu budžeta kategoriju gadījumā summa jāaprēķina piemērotajām izmaksām piemērojot vienoto likmi un ņemot vērā attiecīgās vienkāršoto izmaksu opcijas, kas noteiktas „ESPON 2030“ programmā. Saskaņā ar finanšu korekcijas standarta praksi vienkāršoto izmaksu opciju izmantošanas gadījumā, ja starp ziņotajām faktiskajām izmaksām konstatē neattiecināmās izmaksas, tās automātiski pārtop par zaudējumiem attiecīgajās citās budžeta kategorijās, kas aprēķināta atbilstoši attiecīgajai Vienkāršoto izmaksu opcijas vienotajai likmei. Līdz ar to Atbildības gadījumu pieprasījumos jāiekļauj gan faktiskās izmaksas, gan ar tām saistītais trūkstošais finansējums, balstoties uz vienkāršotās izmaksu opcijas piemērošanu.</w:t>
      </w:r>
      <w:r w:rsidR="00A21B18" w:rsidRPr="00DD7649">
        <w:rPr>
          <w:rStyle w:val="word"/>
          <w:rFonts w:ascii="Times New Roman" w:hAnsi="Times New Roman"/>
          <w:spacing w:val="3"/>
          <w:sz w:val="24"/>
          <w:szCs w:val="24"/>
          <w:lang w:val="lv-LV"/>
        </w:rPr>
        <w:t xml:space="preserve"> </w:t>
      </w:r>
      <w:r w:rsidRPr="00A21B18">
        <w:rPr>
          <w:rFonts w:ascii="Times New Roman" w:hAnsi="Times New Roman"/>
          <w:sz w:val="24"/>
          <w:szCs w:val="24"/>
          <w:lang w:val="lv-LV"/>
        </w:rPr>
        <w:t>Vadošajai iestādei ir četru nedēļu laikā jāpārbauda pieprasījuma pareizība un jāinformē Atbildības mehānisma Vadības komiteja.</w:t>
      </w:r>
      <w:r w:rsidRPr="004C576C">
        <w:rPr>
          <w:rFonts w:ascii="Times New Roman" w:hAnsi="Times New Roman"/>
          <w:sz w:val="24"/>
          <w:szCs w:val="24"/>
          <w:lang w:val="lv-LV"/>
        </w:rPr>
        <w:t xml:space="preserve"> </w:t>
      </w:r>
    </w:p>
    <w:p w14:paraId="607DC191" w14:textId="77777777"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Iebildumus var izteikti tikai tad, ja iespējams pamatot nopietnas šaubas par pieprasījuma pareizību.</w:t>
      </w:r>
    </w:p>
    <w:p w14:paraId="5377C9A4" w14:textId="77777777"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Pēc Atbildības mehānisma Vadības komitejas piekrišanas saņemšanas Vadošajai iestādei jānosūta pieprasījums Fondu uzturošajai institūcijai, kas veic atmaksas maksājumu ESPON ETSG četru nedēļu laikā.</w:t>
      </w:r>
    </w:p>
    <w:p w14:paraId="357F7CFC" w14:textId="77777777"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Pieprasījumus var iesniegt </w:t>
      </w:r>
      <w:r>
        <w:rPr>
          <w:rFonts w:ascii="Times New Roman" w:hAnsi="Times New Roman"/>
          <w:sz w:val="24"/>
          <w:szCs w:val="24"/>
          <w:lang w:val="lv-LV"/>
        </w:rPr>
        <w:t>vienu</w:t>
      </w:r>
      <w:r w:rsidRPr="004C576C">
        <w:rPr>
          <w:rFonts w:ascii="Times New Roman" w:hAnsi="Times New Roman"/>
          <w:sz w:val="24"/>
          <w:szCs w:val="24"/>
          <w:lang w:val="lv-LV"/>
        </w:rPr>
        <w:t xml:space="preserve"> reiz</w:t>
      </w:r>
      <w:r>
        <w:rPr>
          <w:rFonts w:ascii="Times New Roman" w:hAnsi="Times New Roman"/>
          <w:sz w:val="24"/>
          <w:szCs w:val="24"/>
          <w:lang w:val="lv-LV"/>
        </w:rPr>
        <w:t>i</w:t>
      </w:r>
      <w:r w:rsidRPr="004C576C">
        <w:rPr>
          <w:rFonts w:ascii="Times New Roman" w:hAnsi="Times New Roman"/>
          <w:sz w:val="24"/>
          <w:szCs w:val="24"/>
          <w:lang w:val="lv-LV"/>
        </w:rPr>
        <w:t xml:space="preserve"> gadā. Vienā pieprasījumā var iekļaut vairākus Atbildības gadījumus. </w:t>
      </w:r>
    </w:p>
    <w:p w14:paraId="76EA924E" w14:textId="77777777" w:rsidR="00CF5E67" w:rsidRPr="004C576C" w:rsidRDefault="00CF5E67" w:rsidP="00CF5E67">
      <w:pPr>
        <w:pStyle w:val="Heading2"/>
        <w:rPr>
          <w:rFonts w:ascii="Times New Roman" w:hAnsi="Times New Roman"/>
          <w:sz w:val="24"/>
          <w:szCs w:val="24"/>
          <w:lang w:val="lv-LV"/>
        </w:rPr>
      </w:pPr>
      <w:bookmarkStart w:id="51" w:name="_Toc429386315"/>
      <w:bookmarkStart w:id="52" w:name="_Toc83667698"/>
      <w:r w:rsidRPr="004C576C">
        <w:rPr>
          <w:rFonts w:ascii="Times New Roman" w:hAnsi="Times New Roman"/>
          <w:sz w:val="24"/>
          <w:szCs w:val="24"/>
          <w:lang w:val="lv-LV"/>
        </w:rPr>
        <w:lastRenderedPageBreak/>
        <w:t>6.4 – NEATTIECINĀMO IZDEVUMU PROPORCIJAS SAMAZINĀŠANAI VEIKTĀS DARBĪBAS</w:t>
      </w:r>
      <w:bookmarkEnd w:id="51"/>
      <w:bookmarkEnd w:id="52"/>
      <w:r w:rsidRPr="004C576C">
        <w:rPr>
          <w:rFonts w:ascii="Times New Roman" w:hAnsi="Times New Roman"/>
          <w:sz w:val="24"/>
          <w:szCs w:val="24"/>
          <w:lang w:val="lv-LV"/>
        </w:rPr>
        <w:t xml:space="preserve"> </w:t>
      </w:r>
    </w:p>
    <w:p w14:paraId="1FFBB479" w14:textId="248D8CD9"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Ja jebkurā brīdī pieprasītie un atmaksātie uzkrātie neattiecināmie izdevumi pārsniedz iepriekš noteikto mērķi 1 % no uzkrātās kopējās finansējuma summas, kas samaksāta kā atlīdzība par </w:t>
      </w:r>
      <w:r w:rsidR="00A94689">
        <w:rPr>
          <w:rFonts w:ascii="Times New Roman" w:hAnsi="Times New Roman"/>
          <w:sz w:val="24"/>
          <w:szCs w:val="24"/>
          <w:lang w:val="lv-LV"/>
        </w:rPr>
        <w:t>Dotāciju</w:t>
      </w:r>
      <w:r w:rsidRPr="004C576C">
        <w:rPr>
          <w:rFonts w:ascii="Times New Roman" w:hAnsi="Times New Roman"/>
          <w:sz w:val="24"/>
          <w:szCs w:val="24"/>
          <w:lang w:val="lv-LV"/>
        </w:rPr>
        <w:t xml:space="preserve"> </w:t>
      </w:r>
      <w:r w:rsidR="00A94689">
        <w:rPr>
          <w:rFonts w:ascii="Times New Roman" w:hAnsi="Times New Roman"/>
          <w:sz w:val="24"/>
          <w:szCs w:val="24"/>
          <w:lang w:val="lv-LV"/>
        </w:rPr>
        <w:t>no</w:t>
      </w:r>
      <w:r w:rsidRPr="004C576C">
        <w:rPr>
          <w:rFonts w:ascii="Times New Roman" w:hAnsi="Times New Roman"/>
          <w:sz w:val="24"/>
          <w:szCs w:val="24"/>
          <w:lang w:val="lv-LV"/>
        </w:rPr>
        <w:t xml:space="preserve">līguma ietvaros īstenotajām darbībām, Atbildības mehānisma Vadības komiteja var izlemt pieprasīt izveidot ESPON </w:t>
      </w:r>
      <w:r w:rsidR="00E958FF">
        <w:rPr>
          <w:rFonts w:ascii="Times New Roman" w:hAnsi="Times New Roman"/>
          <w:sz w:val="24"/>
          <w:szCs w:val="24"/>
          <w:lang w:val="lv-LV"/>
        </w:rPr>
        <w:t xml:space="preserve">ETSG </w:t>
      </w:r>
      <w:r w:rsidRPr="004C576C">
        <w:rPr>
          <w:rFonts w:ascii="Times New Roman" w:hAnsi="Times New Roman"/>
          <w:sz w:val="24"/>
          <w:szCs w:val="24"/>
          <w:lang w:val="lv-LV"/>
        </w:rPr>
        <w:t xml:space="preserve">Konsultatīvo komiteju saskaņā ar ESPON ETSG </w:t>
      </w:r>
      <w:r w:rsidRPr="00573A66">
        <w:rPr>
          <w:rFonts w:ascii="Times New Roman" w:hAnsi="Times New Roman"/>
          <w:sz w:val="24"/>
          <w:szCs w:val="24"/>
          <w:lang w:val="lv-LV"/>
        </w:rPr>
        <w:t>Statūtu 15. un 19.(2) punktu.</w:t>
      </w:r>
      <w:r w:rsidRPr="004C576C">
        <w:rPr>
          <w:rFonts w:ascii="Times New Roman" w:hAnsi="Times New Roman"/>
          <w:sz w:val="24"/>
          <w:szCs w:val="24"/>
          <w:lang w:val="lv-LV"/>
        </w:rPr>
        <w:t xml:space="preserve"> </w:t>
      </w:r>
    </w:p>
    <w:p w14:paraId="16473C6F" w14:textId="77777777"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Saskaņā ar 4.2. punktā izklāstītajiem noteikumiem Konsultatīvās komitejas pagaidu misijas galvenais mērķis ir atbalstīt neattiecināmo izdevumu atmaksāšanas samazināšanu zem iepriekš noteiktā mērķa 1 % no kopējās finansējuma summas sliekšņa.</w:t>
      </w:r>
    </w:p>
    <w:p w14:paraId="45E623D3" w14:textId="77777777" w:rsidR="00CF5E67" w:rsidRPr="004C576C" w:rsidRDefault="00CF5E67" w:rsidP="00CF5E67">
      <w:pPr>
        <w:pStyle w:val="Heading2"/>
        <w:rPr>
          <w:rFonts w:ascii="Times New Roman" w:hAnsi="Times New Roman"/>
          <w:sz w:val="24"/>
          <w:szCs w:val="24"/>
          <w:lang w:val="lv-LV"/>
        </w:rPr>
      </w:pPr>
      <w:bookmarkStart w:id="53" w:name="_Toc429386316"/>
      <w:bookmarkStart w:id="54" w:name="_Toc83667699"/>
      <w:r w:rsidRPr="004C576C">
        <w:rPr>
          <w:rFonts w:ascii="Times New Roman" w:hAnsi="Times New Roman"/>
          <w:sz w:val="24"/>
          <w:szCs w:val="24"/>
          <w:lang w:val="lv-LV"/>
        </w:rPr>
        <w:t>6.5 – KĀRTĒJO UN GALA ZIŅOJUMU SNIEGŠANA PAR ATBILDĪBAS MEHĀNISMU</w:t>
      </w:r>
      <w:bookmarkEnd w:id="53"/>
      <w:bookmarkEnd w:id="54"/>
    </w:p>
    <w:p w14:paraId="28F923A8" w14:textId="77777777"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Visa programmēšanas perioda laikā un katru gadu līdz 31. martam Vadošā iestāde, pildot savu administratīvi atbildīgās struktūras funkciju, iesniedz Atbildības mehānisma Vadības komitejai ikgadējo ziņojumu, uzskaitot visus atmaksāšanas gadījumus, kas segti no Atbildības mehānisma, tai skaitā aprakstot uzkrāto Atbildības mehānisma izmantošanas līmeni. Atbildības mehānisma Vadības komiteja var izvērtēt ziņojumu un, pamatojoties uz izvērtējumu, var formulēt ieteikumus </w:t>
      </w:r>
      <w:r>
        <w:rPr>
          <w:rFonts w:ascii="Times New Roman" w:hAnsi="Times New Roman"/>
          <w:sz w:val="24"/>
          <w:szCs w:val="24"/>
          <w:lang w:val="lv-LV"/>
        </w:rPr>
        <w:t xml:space="preserve">ESPON </w:t>
      </w:r>
      <w:r w:rsidRPr="004C576C">
        <w:rPr>
          <w:rFonts w:ascii="Times New Roman" w:hAnsi="Times New Roman"/>
          <w:sz w:val="24"/>
          <w:szCs w:val="24"/>
          <w:lang w:val="lv-LV"/>
        </w:rPr>
        <w:t xml:space="preserve">ETSG. </w:t>
      </w:r>
    </w:p>
    <w:p w14:paraId="78D99AE0" w14:textId="64E28E63" w:rsidR="00CF5E67" w:rsidRPr="004C576C" w:rsidRDefault="00CF5E67" w:rsidP="00CF5E67">
      <w:pPr>
        <w:pStyle w:val="NoSpacing"/>
        <w:spacing w:after="120" w:line="276" w:lineRule="auto"/>
        <w:jc w:val="both"/>
        <w:rPr>
          <w:rFonts w:ascii="Times New Roman" w:hAnsi="Times New Roman"/>
          <w:sz w:val="24"/>
          <w:szCs w:val="24"/>
          <w:lang w:val="lv-LV"/>
        </w:rPr>
      </w:pPr>
      <w:r w:rsidRPr="004C576C">
        <w:rPr>
          <w:rFonts w:ascii="Times New Roman" w:hAnsi="Times New Roman"/>
          <w:sz w:val="24"/>
          <w:szCs w:val="24"/>
          <w:lang w:val="lv-LV"/>
        </w:rPr>
        <w:t xml:space="preserve">Pēc ESPON ETSG slēgšanas un visu darbību pārbaudes un finanšu kontroles veikšanas Vadošā iestāde sagatavo gala noslēguma ziņojumu par Atbildības mehānismu, kas patver visu programmēšanas periodu. Gala ziņojumā jānorāda Atbildības mehānisma neizmantotā summa, kas tiks pārskaitīta atpakaļ iemaksas veikušajiem </w:t>
      </w:r>
      <w:r>
        <w:rPr>
          <w:rFonts w:ascii="Times New Roman" w:hAnsi="Times New Roman"/>
          <w:sz w:val="24"/>
          <w:szCs w:val="24"/>
          <w:lang w:val="lv-LV"/>
        </w:rPr>
        <w:t xml:space="preserve">vai ieskaitīta Riska atbildības mehānismā “ESPON 2030” programmai sekojošajai programmai </w:t>
      </w:r>
      <w:r w:rsidRPr="004C576C">
        <w:rPr>
          <w:rFonts w:ascii="Times New Roman" w:hAnsi="Times New Roman"/>
          <w:sz w:val="24"/>
          <w:szCs w:val="24"/>
          <w:lang w:val="lv-LV"/>
        </w:rPr>
        <w:t>saskaņā ar 5.5. punktu.</w:t>
      </w:r>
    </w:p>
    <w:p w14:paraId="5116ED0F" w14:textId="77777777" w:rsidR="007F21EB" w:rsidRPr="00B46688" w:rsidRDefault="007F21EB">
      <w:pPr>
        <w:rPr>
          <w:lang w:val="lv-LV"/>
        </w:rPr>
      </w:pPr>
    </w:p>
    <w:sectPr w:rsidR="007F21EB" w:rsidRPr="00B46688" w:rsidSect="005B3E79">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5AEDF" w14:textId="77777777" w:rsidR="00521D4D" w:rsidRDefault="00521D4D" w:rsidP="00CF5E67">
      <w:pPr>
        <w:spacing w:after="0" w:line="240" w:lineRule="auto"/>
      </w:pPr>
      <w:r>
        <w:separator/>
      </w:r>
    </w:p>
  </w:endnote>
  <w:endnote w:type="continuationSeparator" w:id="0">
    <w:p w14:paraId="71F24D50" w14:textId="77777777" w:rsidR="00521D4D" w:rsidRDefault="00521D4D" w:rsidP="00CF5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203106"/>
      <w:docPartObj>
        <w:docPartGallery w:val="Page Numbers (Bottom of Page)"/>
        <w:docPartUnique/>
      </w:docPartObj>
    </w:sdtPr>
    <w:sdtEndPr>
      <w:rPr>
        <w:noProof/>
      </w:rPr>
    </w:sdtEndPr>
    <w:sdtContent>
      <w:p w14:paraId="5739724A" w14:textId="732123FD" w:rsidR="00521003" w:rsidRDefault="00521003">
        <w:pPr>
          <w:pStyle w:val="Footer"/>
          <w:jc w:val="center"/>
        </w:pPr>
        <w:r>
          <w:fldChar w:fldCharType="begin"/>
        </w:r>
        <w:r>
          <w:instrText xml:space="preserve"> PAGE   \* MERGEFORMAT </w:instrText>
        </w:r>
        <w:r>
          <w:fldChar w:fldCharType="separate"/>
        </w:r>
        <w:r w:rsidR="00520031">
          <w:rPr>
            <w:noProof/>
          </w:rPr>
          <w:t>13</w:t>
        </w:r>
        <w:r>
          <w:rPr>
            <w:noProof/>
          </w:rPr>
          <w:fldChar w:fldCharType="end"/>
        </w:r>
      </w:p>
    </w:sdtContent>
  </w:sdt>
  <w:p w14:paraId="324B592A" w14:textId="77777777" w:rsidR="00521003" w:rsidRDefault="005210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89981" w14:textId="77777777" w:rsidR="00521D4D" w:rsidRDefault="00521D4D" w:rsidP="00CF5E67">
      <w:pPr>
        <w:spacing w:after="0" w:line="240" w:lineRule="auto"/>
      </w:pPr>
      <w:r>
        <w:separator/>
      </w:r>
    </w:p>
  </w:footnote>
  <w:footnote w:type="continuationSeparator" w:id="0">
    <w:p w14:paraId="41D3E032" w14:textId="77777777" w:rsidR="00521D4D" w:rsidRDefault="00521D4D" w:rsidP="00CF5E67">
      <w:pPr>
        <w:spacing w:after="0" w:line="240" w:lineRule="auto"/>
      </w:pPr>
      <w:r>
        <w:continuationSeparator/>
      </w:r>
    </w:p>
  </w:footnote>
  <w:footnote w:id="1">
    <w:p w14:paraId="53E61919" w14:textId="490BFEA3" w:rsidR="00CF5E67" w:rsidRPr="004C576C" w:rsidRDefault="00CF5E67" w:rsidP="00CF5E67">
      <w:pPr>
        <w:pStyle w:val="FootnoteText"/>
        <w:jc w:val="both"/>
        <w:rPr>
          <w:rFonts w:ascii="Times New Roman" w:hAnsi="Times New Roman"/>
          <w:sz w:val="18"/>
          <w:szCs w:val="18"/>
          <w:lang w:val="lv-LV"/>
        </w:rPr>
      </w:pPr>
      <w:r w:rsidRPr="004C576C">
        <w:rPr>
          <w:rStyle w:val="FootnoteReference"/>
          <w:rFonts w:ascii="Times New Roman" w:hAnsi="Times New Roman"/>
          <w:sz w:val="18"/>
          <w:szCs w:val="18"/>
        </w:rPr>
        <w:footnoteRef/>
      </w:r>
      <w:r w:rsidRPr="004C576C">
        <w:rPr>
          <w:rFonts w:ascii="Times New Roman" w:hAnsi="Times New Roman"/>
          <w:sz w:val="18"/>
          <w:szCs w:val="18"/>
          <w:lang w:val="en-US"/>
        </w:rPr>
        <w:t xml:space="preserve"> </w:t>
      </w:r>
      <w:r w:rsidRPr="004C576C">
        <w:rPr>
          <w:rFonts w:ascii="Times New Roman" w:hAnsi="Times New Roman"/>
          <w:i/>
          <w:sz w:val="18"/>
          <w:szCs w:val="18"/>
          <w:lang w:val="lv-LV"/>
        </w:rPr>
        <w:t>Ir plaši atzīts, ka būtu neiespējami pieņemt, ka praksē negadās nekādas kļūdas un līdz ar to pielaides pakāpe attiecībā uz piemēroto precizitātes līmeni ir uzskatāma par pieņemamu. Revīzijas paņēmienu izpratnē tas tiek saukts par “būtiskuma līmeni”, un tas ir noteikts 2 % apmērā no revidētās summas. Savos gada pārskatos Tiesa klasificē kļūdas saskaņā ar noteikumu “Vai ir iespējams noteikt, cik lielā mērā kļūda ietekmē</w:t>
      </w:r>
      <w:r w:rsidR="00EC0AF0">
        <w:rPr>
          <w:rFonts w:ascii="Times New Roman" w:hAnsi="Times New Roman"/>
          <w:i/>
          <w:sz w:val="18"/>
          <w:szCs w:val="18"/>
          <w:lang w:val="lv-LV"/>
        </w:rPr>
        <w:t xml:space="preserve"> Eiropas</w:t>
      </w:r>
      <w:r w:rsidRPr="004C576C">
        <w:rPr>
          <w:rFonts w:ascii="Times New Roman" w:hAnsi="Times New Roman"/>
          <w:i/>
          <w:sz w:val="18"/>
          <w:szCs w:val="18"/>
          <w:lang w:val="lv-LV"/>
        </w:rPr>
        <w:t xml:space="preserve"> Komisijas samaksāto summu, t. i. vai kļūdas ir izmērāmas vai nav. Ja izmērāma kļūda pārsniedz 2 % no revidētās summas, tā tiek klasificēta kā nopietna, savukārt, ja tā ir mazāka par 2 %, tā tiek klasificēta kā ierobežota </w:t>
      </w:r>
      <w:r w:rsidRPr="004C576C">
        <w:rPr>
          <w:rFonts w:ascii="Times New Roman" w:hAnsi="Times New Roman"/>
          <w:sz w:val="18"/>
          <w:szCs w:val="18"/>
          <w:lang w:val="lv-LV"/>
        </w:rPr>
        <w:t xml:space="preserve">(…). Avots: </w:t>
      </w:r>
      <w:r w:rsidR="00FC1189">
        <w:rPr>
          <w:rFonts w:ascii="Times New Roman" w:hAnsi="Times New Roman"/>
          <w:sz w:val="18"/>
          <w:szCs w:val="18"/>
          <w:lang w:val="lv-LV"/>
        </w:rPr>
        <w:t xml:space="preserve">EIROPAS </w:t>
      </w:r>
      <w:r w:rsidRPr="004C576C">
        <w:rPr>
          <w:rFonts w:ascii="Times New Roman" w:hAnsi="Times New Roman"/>
          <w:sz w:val="18"/>
          <w:szCs w:val="18"/>
          <w:lang w:val="lv-LV"/>
        </w:rPr>
        <w:t xml:space="preserve">KOMISIJAS PERSONĀLA DARBA DOKUMENTS “Kļūdu analizēšana Kohēzijas politikā 2006.-2009. gadiem”, </w:t>
      </w:r>
      <w:r w:rsidR="00FC1189">
        <w:rPr>
          <w:rFonts w:ascii="Times New Roman" w:hAnsi="Times New Roman"/>
          <w:sz w:val="18"/>
          <w:szCs w:val="18"/>
          <w:lang w:val="lv-LV"/>
        </w:rPr>
        <w:t xml:space="preserve">Eiropas </w:t>
      </w:r>
      <w:r w:rsidRPr="004C576C">
        <w:rPr>
          <w:rFonts w:ascii="Times New Roman" w:hAnsi="Times New Roman"/>
          <w:sz w:val="18"/>
          <w:szCs w:val="18"/>
          <w:lang w:val="lv-LV"/>
        </w:rPr>
        <w:t>Komisijas dokuments SEC (2011) 1179, galīgā redakcija, 7. lpp.</w:t>
      </w:r>
    </w:p>
  </w:footnote>
  <w:footnote w:id="2">
    <w:p w14:paraId="3D5DBA23" w14:textId="79C47828" w:rsidR="00CF5E67" w:rsidRPr="00D7728D" w:rsidRDefault="00CF5E67" w:rsidP="00CF5E67">
      <w:pPr>
        <w:pStyle w:val="FootnoteText"/>
        <w:rPr>
          <w:lang w:val="lv-LV"/>
        </w:rPr>
      </w:pPr>
      <w:r>
        <w:rPr>
          <w:rStyle w:val="FootnoteReference"/>
        </w:rPr>
        <w:footnoteRef/>
      </w:r>
      <w:r w:rsidRPr="00DD7649">
        <w:rPr>
          <w:lang w:val="lv-LV"/>
        </w:rPr>
        <w:t xml:space="preserve"> </w:t>
      </w:r>
      <w:r w:rsidRPr="00DD7649">
        <w:rPr>
          <w:rFonts w:ascii="Times New Roman" w:hAnsi="Times New Roman"/>
          <w:sz w:val="18"/>
          <w:lang w:val="lv-LV"/>
        </w:rPr>
        <w:t>“ESPON 2020” programmas Atbildības mehānisma atlikusī summa vēl var mainīties ņemot vērā, ka Atbildības mehānisms ir izmantojams vēl līdz “ESPON 2020” programmas slēgšanai.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14F7"/>
    <w:multiLevelType w:val="hybridMultilevel"/>
    <w:tmpl w:val="0E6C982E"/>
    <w:lvl w:ilvl="0" w:tplc="046E0001">
      <w:start w:val="1"/>
      <w:numFmt w:val="bullet"/>
      <w:lvlText w:val=""/>
      <w:lvlJc w:val="left"/>
      <w:pPr>
        <w:ind w:left="720" w:hanging="360"/>
      </w:pPr>
      <w:rPr>
        <w:rFonts w:ascii="Symbol" w:hAnsi="Symbol" w:hint="default"/>
      </w:rPr>
    </w:lvl>
    <w:lvl w:ilvl="1" w:tplc="046E0003" w:tentative="1">
      <w:start w:val="1"/>
      <w:numFmt w:val="bullet"/>
      <w:lvlText w:val="o"/>
      <w:lvlJc w:val="left"/>
      <w:pPr>
        <w:ind w:left="1440" w:hanging="360"/>
      </w:pPr>
      <w:rPr>
        <w:rFonts w:ascii="Courier New" w:hAnsi="Courier New" w:cs="Courier New"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1" w15:restartNumberingAfterBreak="0">
    <w:nsid w:val="069F401B"/>
    <w:multiLevelType w:val="hybridMultilevel"/>
    <w:tmpl w:val="38F09ED8"/>
    <w:lvl w:ilvl="0" w:tplc="046E0001">
      <w:start w:val="1"/>
      <w:numFmt w:val="bullet"/>
      <w:lvlText w:val=""/>
      <w:lvlJc w:val="left"/>
      <w:pPr>
        <w:ind w:left="360" w:hanging="360"/>
      </w:pPr>
      <w:rPr>
        <w:rFonts w:ascii="Symbol" w:hAnsi="Symbol" w:hint="default"/>
      </w:rPr>
    </w:lvl>
    <w:lvl w:ilvl="1" w:tplc="046E0003" w:tentative="1">
      <w:start w:val="1"/>
      <w:numFmt w:val="bullet"/>
      <w:lvlText w:val="o"/>
      <w:lvlJc w:val="left"/>
      <w:pPr>
        <w:ind w:left="1080" w:hanging="360"/>
      </w:pPr>
      <w:rPr>
        <w:rFonts w:ascii="Courier New" w:hAnsi="Courier New" w:cs="Courier New" w:hint="default"/>
      </w:rPr>
    </w:lvl>
    <w:lvl w:ilvl="2" w:tplc="046E0005" w:tentative="1">
      <w:start w:val="1"/>
      <w:numFmt w:val="bullet"/>
      <w:lvlText w:val=""/>
      <w:lvlJc w:val="left"/>
      <w:pPr>
        <w:ind w:left="1800" w:hanging="360"/>
      </w:pPr>
      <w:rPr>
        <w:rFonts w:ascii="Wingdings" w:hAnsi="Wingdings" w:hint="default"/>
      </w:rPr>
    </w:lvl>
    <w:lvl w:ilvl="3" w:tplc="046E0001" w:tentative="1">
      <w:start w:val="1"/>
      <w:numFmt w:val="bullet"/>
      <w:lvlText w:val=""/>
      <w:lvlJc w:val="left"/>
      <w:pPr>
        <w:ind w:left="2520" w:hanging="360"/>
      </w:pPr>
      <w:rPr>
        <w:rFonts w:ascii="Symbol" w:hAnsi="Symbol" w:hint="default"/>
      </w:rPr>
    </w:lvl>
    <w:lvl w:ilvl="4" w:tplc="046E0003" w:tentative="1">
      <w:start w:val="1"/>
      <w:numFmt w:val="bullet"/>
      <w:lvlText w:val="o"/>
      <w:lvlJc w:val="left"/>
      <w:pPr>
        <w:ind w:left="3240" w:hanging="360"/>
      </w:pPr>
      <w:rPr>
        <w:rFonts w:ascii="Courier New" w:hAnsi="Courier New" w:cs="Courier New" w:hint="default"/>
      </w:rPr>
    </w:lvl>
    <w:lvl w:ilvl="5" w:tplc="046E0005" w:tentative="1">
      <w:start w:val="1"/>
      <w:numFmt w:val="bullet"/>
      <w:lvlText w:val=""/>
      <w:lvlJc w:val="left"/>
      <w:pPr>
        <w:ind w:left="3960" w:hanging="360"/>
      </w:pPr>
      <w:rPr>
        <w:rFonts w:ascii="Wingdings" w:hAnsi="Wingdings" w:hint="default"/>
      </w:rPr>
    </w:lvl>
    <w:lvl w:ilvl="6" w:tplc="046E0001" w:tentative="1">
      <w:start w:val="1"/>
      <w:numFmt w:val="bullet"/>
      <w:lvlText w:val=""/>
      <w:lvlJc w:val="left"/>
      <w:pPr>
        <w:ind w:left="4680" w:hanging="360"/>
      </w:pPr>
      <w:rPr>
        <w:rFonts w:ascii="Symbol" w:hAnsi="Symbol" w:hint="default"/>
      </w:rPr>
    </w:lvl>
    <w:lvl w:ilvl="7" w:tplc="046E0003" w:tentative="1">
      <w:start w:val="1"/>
      <w:numFmt w:val="bullet"/>
      <w:lvlText w:val="o"/>
      <w:lvlJc w:val="left"/>
      <w:pPr>
        <w:ind w:left="5400" w:hanging="360"/>
      </w:pPr>
      <w:rPr>
        <w:rFonts w:ascii="Courier New" w:hAnsi="Courier New" w:cs="Courier New" w:hint="default"/>
      </w:rPr>
    </w:lvl>
    <w:lvl w:ilvl="8" w:tplc="046E0005" w:tentative="1">
      <w:start w:val="1"/>
      <w:numFmt w:val="bullet"/>
      <w:lvlText w:val=""/>
      <w:lvlJc w:val="left"/>
      <w:pPr>
        <w:ind w:left="6120" w:hanging="360"/>
      </w:pPr>
      <w:rPr>
        <w:rFonts w:ascii="Wingdings" w:hAnsi="Wingdings" w:hint="default"/>
      </w:rPr>
    </w:lvl>
  </w:abstractNum>
  <w:abstractNum w:abstractNumId="2" w15:restartNumberingAfterBreak="0">
    <w:nsid w:val="14566549"/>
    <w:multiLevelType w:val="hybridMultilevel"/>
    <w:tmpl w:val="E7AEA07C"/>
    <w:lvl w:ilvl="0" w:tplc="046E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D63366"/>
    <w:multiLevelType w:val="hybridMultilevel"/>
    <w:tmpl w:val="418C1D8E"/>
    <w:lvl w:ilvl="0" w:tplc="046E0001">
      <w:start w:val="1"/>
      <w:numFmt w:val="bullet"/>
      <w:lvlText w:val=""/>
      <w:lvlJc w:val="left"/>
      <w:pPr>
        <w:ind w:left="360" w:hanging="360"/>
      </w:pPr>
      <w:rPr>
        <w:rFonts w:ascii="Symbol" w:hAnsi="Symbol" w:hint="default"/>
      </w:rPr>
    </w:lvl>
    <w:lvl w:ilvl="1" w:tplc="046E0003" w:tentative="1">
      <w:start w:val="1"/>
      <w:numFmt w:val="bullet"/>
      <w:lvlText w:val="o"/>
      <w:lvlJc w:val="left"/>
      <w:pPr>
        <w:ind w:left="1080" w:hanging="360"/>
      </w:pPr>
      <w:rPr>
        <w:rFonts w:ascii="Courier New" w:hAnsi="Courier New" w:cs="Courier New" w:hint="default"/>
      </w:rPr>
    </w:lvl>
    <w:lvl w:ilvl="2" w:tplc="046E0005" w:tentative="1">
      <w:start w:val="1"/>
      <w:numFmt w:val="bullet"/>
      <w:lvlText w:val=""/>
      <w:lvlJc w:val="left"/>
      <w:pPr>
        <w:ind w:left="1800" w:hanging="360"/>
      </w:pPr>
      <w:rPr>
        <w:rFonts w:ascii="Wingdings" w:hAnsi="Wingdings" w:hint="default"/>
      </w:rPr>
    </w:lvl>
    <w:lvl w:ilvl="3" w:tplc="046E0001" w:tentative="1">
      <w:start w:val="1"/>
      <w:numFmt w:val="bullet"/>
      <w:lvlText w:val=""/>
      <w:lvlJc w:val="left"/>
      <w:pPr>
        <w:ind w:left="2520" w:hanging="360"/>
      </w:pPr>
      <w:rPr>
        <w:rFonts w:ascii="Symbol" w:hAnsi="Symbol" w:hint="default"/>
      </w:rPr>
    </w:lvl>
    <w:lvl w:ilvl="4" w:tplc="046E0003" w:tentative="1">
      <w:start w:val="1"/>
      <w:numFmt w:val="bullet"/>
      <w:lvlText w:val="o"/>
      <w:lvlJc w:val="left"/>
      <w:pPr>
        <w:ind w:left="3240" w:hanging="360"/>
      </w:pPr>
      <w:rPr>
        <w:rFonts w:ascii="Courier New" w:hAnsi="Courier New" w:cs="Courier New" w:hint="default"/>
      </w:rPr>
    </w:lvl>
    <w:lvl w:ilvl="5" w:tplc="046E0005" w:tentative="1">
      <w:start w:val="1"/>
      <w:numFmt w:val="bullet"/>
      <w:lvlText w:val=""/>
      <w:lvlJc w:val="left"/>
      <w:pPr>
        <w:ind w:left="3960" w:hanging="360"/>
      </w:pPr>
      <w:rPr>
        <w:rFonts w:ascii="Wingdings" w:hAnsi="Wingdings" w:hint="default"/>
      </w:rPr>
    </w:lvl>
    <w:lvl w:ilvl="6" w:tplc="046E0001" w:tentative="1">
      <w:start w:val="1"/>
      <w:numFmt w:val="bullet"/>
      <w:lvlText w:val=""/>
      <w:lvlJc w:val="left"/>
      <w:pPr>
        <w:ind w:left="4680" w:hanging="360"/>
      </w:pPr>
      <w:rPr>
        <w:rFonts w:ascii="Symbol" w:hAnsi="Symbol" w:hint="default"/>
      </w:rPr>
    </w:lvl>
    <w:lvl w:ilvl="7" w:tplc="046E0003" w:tentative="1">
      <w:start w:val="1"/>
      <w:numFmt w:val="bullet"/>
      <w:lvlText w:val="o"/>
      <w:lvlJc w:val="left"/>
      <w:pPr>
        <w:ind w:left="5400" w:hanging="360"/>
      </w:pPr>
      <w:rPr>
        <w:rFonts w:ascii="Courier New" w:hAnsi="Courier New" w:cs="Courier New" w:hint="default"/>
      </w:rPr>
    </w:lvl>
    <w:lvl w:ilvl="8" w:tplc="046E0005" w:tentative="1">
      <w:start w:val="1"/>
      <w:numFmt w:val="bullet"/>
      <w:lvlText w:val=""/>
      <w:lvlJc w:val="left"/>
      <w:pPr>
        <w:ind w:left="6120" w:hanging="360"/>
      </w:pPr>
      <w:rPr>
        <w:rFonts w:ascii="Wingdings" w:hAnsi="Wingdings" w:hint="default"/>
      </w:rPr>
    </w:lvl>
  </w:abstractNum>
  <w:abstractNum w:abstractNumId="4" w15:restartNumberingAfterBreak="0">
    <w:nsid w:val="659B4153"/>
    <w:multiLevelType w:val="hybridMultilevel"/>
    <w:tmpl w:val="A5122AE0"/>
    <w:lvl w:ilvl="0" w:tplc="046E0001">
      <w:start w:val="1"/>
      <w:numFmt w:val="bullet"/>
      <w:lvlText w:val=""/>
      <w:lvlJc w:val="left"/>
      <w:pPr>
        <w:ind w:left="360" w:hanging="360"/>
      </w:pPr>
      <w:rPr>
        <w:rFonts w:ascii="Symbol" w:hAnsi="Symbol" w:hint="default"/>
      </w:rPr>
    </w:lvl>
    <w:lvl w:ilvl="1" w:tplc="046E0003" w:tentative="1">
      <w:start w:val="1"/>
      <w:numFmt w:val="bullet"/>
      <w:lvlText w:val="o"/>
      <w:lvlJc w:val="left"/>
      <w:pPr>
        <w:ind w:left="1080" w:hanging="360"/>
      </w:pPr>
      <w:rPr>
        <w:rFonts w:ascii="Courier New" w:hAnsi="Courier New" w:cs="Courier New" w:hint="default"/>
      </w:rPr>
    </w:lvl>
    <w:lvl w:ilvl="2" w:tplc="046E0005" w:tentative="1">
      <w:start w:val="1"/>
      <w:numFmt w:val="bullet"/>
      <w:lvlText w:val=""/>
      <w:lvlJc w:val="left"/>
      <w:pPr>
        <w:ind w:left="1800" w:hanging="360"/>
      </w:pPr>
      <w:rPr>
        <w:rFonts w:ascii="Wingdings" w:hAnsi="Wingdings" w:hint="default"/>
      </w:rPr>
    </w:lvl>
    <w:lvl w:ilvl="3" w:tplc="046E0001" w:tentative="1">
      <w:start w:val="1"/>
      <w:numFmt w:val="bullet"/>
      <w:lvlText w:val=""/>
      <w:lvlJc w:val="left"/>
      <w:pPr>
        <w:ind w:left="2520" w:hanging="360"/>
      </w:pPr>
      <w:rPr>
        <w:rFonts w:ascii="Symbol" w:hAnsi="Symbol" w:hint="default"/>
      </w:rPr>
    </w:lvl>
    <w:lvl w:ilvl="4" w:tplc="046E0003" w:tentative="1">
      <w:start w:val="1"/>
      <w:numFmt w:val="bullet"/>
      <w:lvlText w:val="o"/>
      <w:lvlJc w:val="left"/>
      <w:pPr>
        <w:ind w:left="3240" w:hanging="360"/>
      </w:pPr>
      <w:rPr>
        <w:rFonts w:ascii="Courier New" w:hAnsi="Courier New" w:cs="Courier New" w:hint="default"/>
      </w:rPr>
    </w:lvl>
    <w:lvl w:ilvl="5" w:tplc="046E0005" w:tentative="1">
      <w:start w:val="1"/>
      <w:numFmt w:val="bullet"/>
      <w:lvlText w:val=""/>
      <w:lvlJc w:val="left"/>
      <w:pPr>
        <w:ind w:left="3960" w:hanging="360"/>
      </w:pPr>
      <w:rPr>
        <w:rFonts w:ascii="Wingdings" w:hAnsi="Wingdings" w:hint="default"/>
      </w:rPr>
    </w:lvl>
    <w:lvl w:ilvl="6" w:tplc="046E0001" w:tentative="1">
      <w:start w:val="1"/>
      <w:numFmt w:val="bullet"/>
      <w:lvlText w:val=""/>
      <w:lvlJc w:val="left"/>
      <w:pPr>
        <w:ind w:left="4680" w:hanging="360"/>
      </w:pPr>
      <w:rPr>
        <w:rFonts w:ascii="Symbol" w:hAnsi="Symbol" w:hint="default"/>
      </w:rPr>
    </w:lvl>
    <w:lvl w:ilvl="7" w:tplc="046E0003" w:tentative="1">
      <w:start w:val="1"/>
      <w:numFmt w:val="bullet"/>
      <w:lvlText w:val="o"/>
      <w:lvlJc w:val="left"/>
      <w:pPr>
        <w:ind w:left="5400" w:hanging="360"/>
      </w:pPr>
      <w:rPr>
        <w:rFonts w:ascii="Courier New" w:hAnsi="Courier New" w:cs="Courier New" w:hint="default"/>
      </w:rPr>
    </w:lvl>
    <w:lvl w:ilvl="8" w:tplc="046E0005" w:tentative="1">
      <w:start w:val="1"/>
      <w:numFmt w:val="bullet"/>
      <w:lvlText w:val=""/>
      <w:lvlJc w:val="left"/>
      <w:pPr>
        <w:ind w:left="6120" w:hanging="360"/>
      </w:pPr>
      <w:rPr>
        <w:rFonts w:ascii="Wingdings" w:hAnsi="Wingdings" w:hint="default"/>
      </w:rPr>
    </w:lvl>
  </w:abstractNum>
  <w:abstractNum w:abstractNumId="5" w15:restartNumberingAfterBreak="0">
    <w:nsid w:val="676C623F"/>
    <w:multiLevelType w:val="hybridMultilevel"/>
    <w:tmpl w:val="851E48EA"/>
    <w:lvl w:ilvl="0" w:tplc="046E0001">
      <w:start w:val="1"/>
      <w:numFmt w:val="bullet"/>
      <w:lvlText w:val=""/>
      <w:lvlJc w:val="left"/>
      <w:pPr>
        <w:ind w:left="360" w:hanging="360"/>
      </w:pPr>
      <w:rPr>
        <w:rFonts w:ascii="Symbol" w:hAnsi="Symbol" w:hint="default"/>
      </w:rPr>
    </w:lvl>
    <w:lvl w:ilvl="1" w:tplc="046E0019" w:tentative="1">
      <w:start w:val="1"/>
      <w:numFmt w:val="lowerLetter"/>
      <w:lvlText w:val="%2."/>
      <w:lvlJc w:val="left"/>
      <w:pPr>
        <w:ind w:left="1080" w:hanging="360"/>
      </w:pPr>
    </w:lvl>
    <w:lvl w:ilvl="2" w:tplc="046E001B" w:tentative="1">
      <w:start w:val="1"/>
      <w:numFmt w:val="lowerRoman"/>
      <w:lvlText w:val="%3."/>
      <w:lvlJc w:val="right"/>
      <w:pPr>
        <w:ind w:left="1800" w:hanging="180"/>
      </w:pPr>
    </w:lvl>
    <w:lvl w:ilvl="3" w:tplc="046E000F" w:tentative="1">
      <w:start w:val="1"/>
      <w:numFmt w:val="decimal"/>
      <w:lvlText w:val="%4."/>
      <w:lvlJc w:val="left"/>
      <w:pPr>
        <w:ind w:left="2520" w:hanging="360"/>
      </w:pPr>
    </w:lvl>
    <w:lvl w:ilvl="4" w:tplc="046E0019" w:tentative="1">
      <w:start w:val="1"/>
      <w:numFmt w:val="lowerLetter"/>
      <w:lvlText w:val="%5."/>
      <w:lvlJc w:val="left"/>
      <w:pPr>
        <w:ind w:left="3240" w:hanging="360"/>
      </w:pPr>
    </w:lvl>
    <w:lvl w:ilvl="5" w:tplc="046E001B" w:tentative="1">
      <w:start w:val="1"/>
      <w:numFmt w:val="lowerRoman"/>
      <w:lvlText w:val="%6."/>
      <w:lvlJc w:val="right"/>
      <w:pPr>
        <w:ind w:left="3960" w:hanging="180"/>
      </w:pPr>
    </w:lvl>
    <w:lvl w:ilvl="6" w:tplc="046E000F" w:tentative="1">
      <w:start w:val="1"/>
      <w:numFmt w:val="decimal"/>
      <w:lvlText w:val="%7."/>
      <w:lvlJc w:val="left"/>
      <w:pPr>
        <w:ind w:left="4680" w:hanging="360"/>
      </w:pPr>
    </w:lvl>
    <w:lvl w:ilvl="7" w:tplc="046E0019" w:tentative="1">
      <w:start w:val="1"/>
      <w:numFmt w:val="lowerLetter"/>
      <w:lvlText w:val="%8."/>
      <w:lvlJc w:val="left"/>
      <w:pPr>
        <w:ind w:left="5400" w:hanging="360"/>
      </w:pPr>
    </w:lvl>
    <w:lvl w:ilvl="8" w:tplc="046E001B" w:tentative="1">
      <w:start w:val="1"/>
      <w:numFmt w:val="lowerRoman"/>
      <w:lvlText w:val="%9."/>
      <w:lvlJc w:val="right"/>
      <w:pPr>
        <w:ind w:left="6120" w:hanging="180"/>
      </w:pPr>
    </w:lvl>
  </w:abstractNum>
  <w:abstractNum w:abstractNumId="6" w15:restartNumberingAfterBreak="0">
    <w:nsid w:val="7ACA79C6"/>
    <w:multiLevelType w:val="hybridMultilevel"/>
    <w:tmpl w:val="6D38572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4"/>
  </w:num>
  <w:num w:numId="4">
    <w:abstractNumId w:val="1"/>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E67"/>
    <w:rsid w:val="000E654A"/>
    <w:rsid w:val="00126C46"/>
    <w:rsid w:val="00137232"/>
    <w:rsid w:val="0015253A"/>
    <w:rsid w:val="00160BBE"/>
    <w:rsid w:val="00171AFF"/>
    <w:rsid w:val="00180EF9"/>
    <w:rsid w:val="001A1CF1"/>
    <w:rsid w:val="001C601D"/>
    <w:rsid w:val="001C6735"/>
    <w:rsid w:val="001D4B1B"/>
    <w:rsid w:val="001E4364"/>
    <w:rsid w:val="002D5651"/>
    <w:rsid w:val="002F3094"/>
    <w:rsid w:val="002F4A27"/>
    <w:rsid w:val="0032037F"/>
    <w:rsid w:val="0035794B"/>
    <w:rsid w:val="00382333"/>
    <w:rsid w:val="0038629F"/>
    <w:rsid w:val="003925EE"/>
    <w:rsid w:val="003E4E65"/>
    <w:rsid w:val="00445959"/>
    <w:rsid w:val="004460E2"/>
    <w:rsid w:val="0047578D"/>
    <w:rsid w:val="00484194"/>
    <w:rsid w:val="00496B3F"/>
    <w:rsid w:val="0051048E"/>
    <w:rsid w:val="00520031"/>
    <w:rsid w:val="00521003"/>
    <w:rsid w:val="00521D4D"/>
    <w:rsid w:val="00560077"/>
    <w:rsid w:val="00573A66"/>
    <w:rsid w:val="005B373E"/>
    <w:rsid w:val="005B3E79"/>
    <w:rsid w:val="005E3636"/>
    <w:rsid w:val="0063066B"/>
    <w:rsid w:val="00692D0B"/>
    <w:rsid w:val="006B344B"/>
    <w:rsid w:val="006D59B2"/>
    <w:rsid w:val="007134F0"/>
    <w:rsid w:val="00736885"/>
    <w:rsid w:val="0076241B"/>
    <w:rsid w:val="00772B3A"/>
    <w:rsid w:val="007C04F1"/>
    <w:rsid w:val="007C090B"/>
    <w:rsid w:val="007F21EB"/>
    <w:rsid w:val="007F532C"/>
    <w:rsid w:val="00826E4E"/>
    <w:rsid w:val="008578EF"/>
    <w:rsid w:val="00861BA9"/>
    <w:rsid w:val="00872633"/>
    <w:rsid w:val="00895300"/>
    <w:rsid w:val="008A1F0D"/>
    <w:rsid w:val="008B3E98"/>
    <w:rsid w:val="008B55D7"/>
    <w:rsid w:val="00923924"/>
    <w:rsid w:val="00926364"/>
    <w:rsid w:val="00962B88"/>
    <w:rsid w:val="00971810"/>
    <w:rsid w:val="009C48DA"/>
    <w:rsid w:val="009D1C7B"/>
    <w:rsid w:val="00A21B18"/>
    <w:rsid w:val="00A94689"/>
    <w:rsid w:val="00B22A81"/>
    <w:rsid w:val="00B36BB2"/>
    <w:rsid w:val="00B46688"/>
    <w:rsid w:val="00B5165E"/>
    <w:rsid w:val="00BB3FDB"/>
    <w:rsid w:val="00BD4D68"/>
    <w:rsid w:val="00BE1396"/>
    <w:rsid w:val="00C731F5"/>
    <w:rsid w:val="00C75DFD"/>
    <w:rsid w:val="00CF5E67"/>
    <w:rsid w:val="00D5783A"/>
    <w:rsid w:val="00DA2AD3"/>
    <w:rsid w:val="00DB303A"/>
    <w:rsid w:val="00DD7649"/>
    <w:rsid w:val="00DF00E9"/>
    <w:rsid w:val="00E7097F"/>
    <w:rsid w:val="00E9545A"/>
    <w:rsid w:val="00E958FF"/>
    <w:rsid w:val="00E97A41"/>
    <w:rsid w:val="00EA4C7F"/>
    <w:rsid w:val="00EA5EFF"/>
    <w:rsid w:val="00EC0AF0"/>
    <w:rsid w:val="00F15832"/>
    <w:rsid w:val="00F15959"/>
    <w:rsid w:val="00F27A2F"/>
    <w:rsid w:val="00F3651D"/>
    <w:rsid w:val="00FC1189"/>
    <w:rsid w:val="00FC1483"/>
    <w:rsid w:val="00FC7430"/>
    <w:rsid w:val="00FE07EA"/>
    <w:rsid w:val="00FE7A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AEF53"/>
  <w15:chartTrackingRefBased/>
  <w15:docId w15:val="{2355D085-9463-48D4-915B-7F6113B07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E67"/>
    <w:pPr>
      <w:spacing w:after="200" w:line="276" w:lineRule="auto"/>
    </w:pPr>
    <w:rPr>
      <w:rFonts w:ascii="Cambria" w:eastAsia="Times New Roman" w:hAnsi="Cambria" w:cs="Times New Roman"/>
      <w:lang w:val="de-DE"/>
    </w:rPr>
  </w:style>
  <w:style w:type="paragraph" w:styleId="Heading1">
    <w:name w:val="heading 1"/>
    <w:basedOn w:val="Normal"/>
    <w:next w:val="Normal"/>
    <w:link w:val="Heading1Char"/>
    <w:uiPriority w:val="9"/>
    <w:qFormat/>
    <w:rsid w:val="00CF5E67"/>
    <w:pPr>
      <w:spacing w:before="480" w:after="0"/>
      <w:contextualSpacing/>
      <w:outlineLvl w:val="0"/>
    </w:pPr>
    <w:rPr>
      <w:rFonts w:ascii="Calibri" w:hAnsi="Calibri"/>
      <w:b/>
      <w:bCs/>
      <w:sz w:val="24"/>
      <w:szCs w:val="28"/>
    </w:rPr>
  </w:style>
  <w:style w:type="paragraph" w:styleId="Heading2">
    <w:name w:val="heading 2"/>
    <w:basedOn w:val="Normal"/>
    <w:next w:val="Normal"/>
    <w:link w:val="Heading2Char"/>
    <w:uiPriority w:val="9"/>
    <w:unhideWhenUsed/>
    <w:qFormat/>
    <w:rsid w:val="00CF5E67"/>
    <w:pPr>
      <w:spacing w:before="200" w:after="0"/>
      <w:outlineLvl w:val="1"/>
    </w:pPr>
    <w:rPr>
      <w:rFonts w:ascii="Calibri" w:hAnsi="Calibr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E67"/>
    <w:rPr>
      <w:rFonts w:ascii="Calibri" w:eastAsia="Times New Roman" w:hAnsi="Calibri" w:cs="Times New Roman"/>
      <w:b/>
      <w:bCs/>
      <w:sz w:val="24"/>
      <w:szCs w:val="28"/>
      <w:lang w:val="de-DE"/>
    </w:rPr>
  </w:style>
  <w:style w:type="character" w:customStyle="1" w:styleId="Heading2Char">
    <w:name w:val="Heading 2 Char"/>
    <w:basedOn w:val="DefaultParagraphFont"/>
    <w:link w:val="Heading2"/>
    <w:uiPriority w:val="9"/>
    <w:rsid w:val="00CF5E67"/>
    <w:rPr>
      <w:rFonts w:ascii="Calibri" w:eastAsia="Times New Roman" w:hAnsi="Calibri" w:cs="Times New Roman"/>
      <w:b/>
      <w:bCs/>
      <w:szCs w:val="26"/>
      <w:lang w:val="de-DE"/>
    </w:rPr>
  </w:style>
  <w:style w:type="paragraph" w:styleId="NoSpacing">
    <w:name w:val="No Spacing"/>
    <w:basedOn w:val="Normal"/>
    <w:uiPriority w:val="1"/>
    <w:qFormat/>
    <w:rsid w:val="00CF5E67"/>
    <w:pPr>
      <w:spacing w:after="0" w:line="240" w:lineRule="auto"/>
    </w:pPr>
  </w:style>
  <w:style w:type="paragraph" w:styleId="FootnoteText">
    <w:name w:val="footnote text"/>
    <w:basedOn w:val="Normal"/>
    <w:link w:val="FootnoteTextChar"/>
    <w:uiPriority w:val="99"/>
    <w:semiHidden/>
    <w:unhideWhenUsed/>
    <w:rsid w:val="00CF5E67"/>
    <w:pPr>
      <w:spacing w:after="0" w:line="240" w:lineRule="auto"/>
    </w:pPr>
    <w:rPr>
      <w:rFonts w:eastAsia="Cambria"/>
      <w:sz w:val="20"/>
      <w:szCs w:val="20"/>
    </w:rPr>
  </w:style>
  <w:style w:type="character" w:customStyle="1" w:styleId="FootnoteTextChar">
    <w:name w:val="Footnote Text Char"/>
    <w:basedOn w:val="DefaultParagraphFont"/>
    <w:link w:val="FootnoteText"/>
    <w:uiPriority w:val="99"/>
    <w:semiHidden/>
    <w:rsid w:val="00CF5E67"/>
    <w:rPr>
      <w:rFonts w:ascii="Cambria" w:eastAsia="Cambria" w:hAnsi="Cambria" w:cs="Times New Roman"/>
      <w:sz w:val="20"/>
      <w:szCs w:val="20"/>
      <w:lang w:val="de-DE"/>
    </w:rPr>
  </w:style>
  <w:style w:type="character" w:styleId="FootnoteReference">
    <w:name w:val="footnote reference"/>
    <w:uiPriority w:val="99"/>
    <w:semiHidden/>
    <w:unhideWhenUsed/>
    <w:rsid w:val="00CF5E67"/>
    <w:rPr>
      <w:vertAlign w:val="superscript"/>
    </w:rPr>
  </w:style>
  <w:style w:type="character" w:styleId="CommentReference">
    <w:name w:val="annotation reference"/>
    <w:uiPriority w:val="99"/>
    <w:semiHidden/>
    <w:unhideWhenUsed/>
    <w:rsid w:val="00CF5E67"/>
    <w:rPr>
      <w:sz w:val="16"/>
      <w:szCs w:val="16"/>
    </w:rPr>
  </w:style>
  <w:style w:type="paragraph" w:styleId="CommentText">
    <w:name w:val="annotation text"/>
    <w:basedOn w:val="Normal"/>
    <w:link w:val="CommentTextChar"/>
    <w:uiPriority w:val="99"/>
    <w:semiHidden/>
    <w:unhideWhenUsed/>
    <w:rsid w:val="00CF5E67"/>
    <w:pPr>
      <w:spacing w:line="240" w:lineRule="auto"/>
    </w:pPr>
    <w:rPr>
      <w:sz w:val="20"/>
      <w:szCs w:val="20"/>
    </w:rPr>
  </w:style>
  <w:style w:type="character" w:customStyle="1" w:styleId="CommentTextChar">
    <w:name w:val="Comment Text Char"/>
    <w:basedOn w:val="DefaultParagraphFont"/>
    <w:link w:val="CommentText"/>
    <w:uiPriority w:val="99"/>
    <w:semiHidden/>
    <w:rsid w:val="00CF5E67"/>
    <w:rPr>
      <w:rFonts w:ascii="Cambria" w:eastAsia="Times New Roman" w:hAnsi="Cambria" w:cs="Times New Roman"/>
      <w:sz w:val="20"/>
      <w:szCs w:val="20"/>
      <w:lang w:val="de-DE"/>
    </w:rPr>
  </w:style>
  <w:style w:type="paragraph" w:styleId="TOC2">
    <w:name w:val="toc 2"/>
    <w:basedOn w:val="Normal"/>
    <w:next w:val="Normal"/>
    <w:autoRedefine/>
    <w:uiPriority w:val="39"/>
    <w:unhideWhenUsed/>
    <w:qFormat/>
    <w:rsid w:val="00CF5E67"/>
    <w:pPr>
      <w:spacing w:after="100"/>
      <w:ind w:left="220"/>
    </w:pPr>
    <w:rPr>
      <w:lang w:val="lb-LU" w:eastAsia="lb-LU"/>
    </w:rPr>
  </w:style>
  <w:style w:type="paragraph" w:styleId="TOC1">
    <w:name w:val="toc 1"/>
    <w:basedOn w:val="Normal"/>
    <w:next w:val="Normal"/>
    <w:autoRedefine/>
    <w:uiPriority w:val="39"/>
    <w:unhideWhenUsed/>
    <w:qFormat/>
    <w:rsid w:val="00CF5E67"/>
    <w:pPr>
      <w:tabs>
        <w:tab w:val="left" w:pos="0"/>
        <w:tab w:val="right" w:leader="dot" w:pos="9062"/>
      </w:tabs>
      <w:spacing w:after="100"/>
      <w:jc w:val="center"/>
    </w:pPr>
    <w:rPr>
      <w:rFonts w:ascii="Times New Roman" w:hAnsi="Times New Roman"/>
      <w:b/>
      <w:sz w:val="28"/>
      <w:szCs w:val="24"/>
      <w:lang w:val="lv-LV" w:eastAsia="lb-LU"/>
    </w:rPr>
  </w:style>
  <w:style w:type="character" w:styleId="Hyperlink">
    <w:name w:val="Hyperlink"/>
    <w:uiPriority w:val="99"/>
    <w:unhideWhenUsed/>
    <w:rsid w:val="00CF5E67"/>
    <w:rPr>
      <w:color w:val="5F5F5F"/>
      <w:u w:val="single"/>
    </w:rPr>
  </w:style>
  <w:style w:type="character" w:customStyle="1" w:styleId="word">
    <w:name w:val="word"/>
    <w:basedOn w:val="DefaultParagraphFont"/>
    <w:rsid w:val="00CF5E67"/>
  </w:style>
  <w:style w:type="paragraph" w:styleId="Header">
    <w:name w:val="header"/>
    <w:basedOn w:val="Normal"/>
    <w:link w:val="HeaderChar"/>
    <w:uiPriority w:val="99"/>
    <w:unhideWhenUsed/>
    <w:rsid w:val="005210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1003"/>
    <w:rPr>
      <w:rFonts w:ascii="Cambria" w:eastAsia="Times New Roman" w:hAnsi="Cambria" w:cs="Times New Roman"/>
      <w:lang w:val="de-DE"/>
    </w:rPr>
  </w:style>
  <w:style w:type="paragraph" w:styleId="Footer">
    <w:name w:val="footer"/>
    <w:basedOn w:val="Normal"/>
    <w:link w:val="FooterChar"/>
    <w:uiPriority w:val="99"/>
    <w:unhideWhenUsed/>
    <w:rsid w:val="005210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1003"/>
    <w:rPr>
      <w:rFonts w:ascii="Cambria" w:eastAsia="Times New Roman" w:hAnsi="Cambria" w:cs="Times New Roman"/>
      <w:lang w:val="de-DE"/>
    </w:rPr>
  </w:style>
  <w:style w:type="paragraph" w:styleId="TOCHeading">
    <w:name w:val="TOC Heading"/>
    <w:basedOn w:val="Heading1"/>
    <w:next w:val="Normal"/>
    <w:uiPriority w:val="39"/>
    <w:unhideWhenUsed/>
    <w:qFormat/>
    <w:rsid w:val="00772B3A"/>
    <w:pPr>
      <w:keepNext/>
      <w:keepLines/>
      <w:spacing w:before="240" w:line="259" w:lineRule="auto"/>
      <w:contextualSpacing w:val="0"/>
      <w:outlineLvl w:val="9"/>
    </w:pPr>
    <w:rPr>
      <w:rFonts w:asciiTheme="majorHAnsi" w:eastAsiaTheme="majorEastAsia" w:hAnsiTheme="majorHAnsi" w:cstheme="majorBidi"/>
      <w:b w:val="0"/>
      <w:bCs w:val="0"/>
      <w:color w:val="2F5496" w:themeColor="accent1" w:themeShade="BF"/>
      <w:sz w:val="32"/>
      <w:szCs w:val="32"/>
      <w:lang w:val="en-US"/>
    </w:rPr>
  </w:style>
  <w:style w:type="paragraph" w:styleId="BalloonText">
    <w:name w:val="Balloon Text"/>
    <w:basedOn w:val="Normal"/>
    <w:link w:val="BalloonTextChar"/>
    <w:uiPriority w:val="99"/>
    <w:semiHidden/>
    <w:unhideWhenUsed/>
    <w:rsid w:val="00B466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6688"/>
    <w:rPr>
      <w:rFonts w:ascii="Segoe UI" w:eastAsia="Times New Roman" w:hAnsi="Segoe UI" w:cs="Segoe UI"/>
      <w:sz w:val="18"/>
      <w:szCs w:val="18"/>
      <w:lang w:val="de-DE"/>
    </w:rPr>
  </w:style>
  <w:style w:type="paragraph" w:styleId="Revision">
    <w:name w:val="Revision"/>
    <w:hidden/>
    <w:uiPriority w:val="99"/>
    <w:semiHidden/>
    <w:rsid w:val="00971810"/>
    <w:pPr>
      <w:spacing w:after="0" w:line="240" w:lineRule="auto"/>
    </w:pPr>
    <w:rPr>
      <w:rFonts w:ascii="Cambria" w:eastAsia="Times New Roman" w:hAnsi="Cambria" w:cs="Times New Roman"/>
      <w:lang w:val="de-DE"/>
    </w:rPr>
  </w:style>
  <w:style w:type="paragraph" w:styleId="CommentSubject">
    <w:name w:val="annotation subject"/>
    <w:basedOn w:val="CommentText"/>
    <w:next w:val="CommentText"/>
    <w:link w:val="CommentSubjectChar"/>
    <w:uiPriority w:val="99"/>
    <w:semiHidden/>
    <w:unhideWhenUsed/>
    <w:rsid w:val="00382333"/>
    <w:rPr>
      <w:b/>
      <w:bCs/>
    </w:rPr>
  </w:style>
  <w:style w:type="character" w:customStyle="1" w:styleId="CommentSubjectChar">
    <w:name w:val="Comment Subject Char"/>
    <w:basedOn w:val="CommentTextChar"/>
    <w:link w:val="CommentSubject"/>
    <w:uiPriority w:val="99"/>
    <w:semiHidden/>
    <w:rsid w:val="00382333"/>
    <w:rPr>
      <w:rFonts w:ascii="Cambria" w:eastAsia="Times New Roman" w:hAnsi="Cambria" w:cs="Times New Roman"/>
      <w:b/>
      <w:bCs/>
      <w:sz w:val="20"/>
      <w:szCs w:val="2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18868</Words>
  <Characters>10755</Characters>
  <Application>Microsoft Office Word</Application>
  <DocSecurity>0</DocSecurity>
  <Lines>89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Līvija  Rozenvalde</dc:creator>
  <cp:keywords/>
  <dc:description/>
  <cp:lastModifiedBy>VK Lietotājs</cp:lastModifiedBy>
  <cp:revision>2</cp:revision>
  <dcterms:created xsi:type="dcterms:W3CDTF">2022-01-03T15:10:00Z</dcterms:created>
  <dcterms:modified xsi:type="dcterms:W3CDTF">2022-01-03T15:10:00Z</dcterms:modified>
</cp:coreProperties>
</file>