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26. oktobrī (prot. Nr. 72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(Latvijas Vēstnesis, 2016, 90. nr.; 2018, 18. nr.; 2019, 22. nr.; 2020, 71C., 146. nr.; 2021, 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pieejamais attiecināmais finansējums reģionālajiem biznesa inkubatoriem pasākuma īstenošanai ir ne vairāk kā 29 817 649 </w:t>
      </w:r>
      <w:r w:rsidR="00000000" w:rsidRPr="00000000" w:rsidDel="00000000">
        <w:rPr>
          <w:i w:val="1"/>
          <w:rtl w:val="0"/>
        </w:rPr>
        <w:t xml:space="preserve">euro</w:t>
      </w:r>
      <w:r w:rsidR="00000000" w:rsidRPr="00000000" w:rsidDel="00000000">
        <w:rPr>
          <w:rtl w:val="0"/>
        </w:rPr>
        <w:t xml:space="preserve">, ko veido Eiropas Reģionālās attīstības fonda finansējums 25 345 000 </w:t>
      </w:r>
      <w:r w:rsidR="00000000" w:rsidRPr="00000000" w:rsidDel="00000000">
        <w:rPr>
          <w:i w:val="1"/>
          <w:rtl w:val="0"/>
        </w:rPr>
        <w:t xml:space="preserve">euro</w:t>
      </w:r>
      <w:r w:rsidR="00000000" w:rsidRPr="00000000" w:rsidDel="00000000">
        <w:rPr>
          <w:rtl w:val="0"/>
        </w:rPr>
        <w:t xml:space="preserve"> apmērā un valsts budžeta finansējums 4 472 649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6.1.1.1. atbalstīto komersantu skaits, kas saņem grantus, – 580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6.1.1.2. atbalstīto jaunizveidoto komersantu skaits – 1030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6.1.1.3. nodarbinātības pieaugums atbalstītajos komersantos – 2150 pilnas slodzes ekvivalenti;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6.1.1.4. specifiskais iznākuma rādītājs – radošo industriju jomas komersantu skaits, kuri saņem atbalstu, – 90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6.1.1.5. specifiskais iznākuma rādītājs – gala labuma guvēju skaits, kuri saņem nefinansiālu atbalstu pirmsinkubācijas veidā, – 2500 gala labuma 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6.1.1.6. komersantu skaits, kuri saņem nefinansiālu atbalstu, – 1030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piešķir atbalstu gala labuma guvējiem šo noteikumu 15.1. un 15.2. apakšpunktā minēto darbību veikšanai. Gala labuma guvējus izvēlas no komersantiem, kas iesnieguši atbalsta pieteikumu Valsts platformā biznesa attīstībai www.business.gov.lv, un izvērtē, ievērojot finansējuma saņēmēja izstrādāto kārtību, kādā izvēlas gala labuma guvējus, piešķir un uzskaita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Finansējuma saņēmējs šo noteikumu 15. punktā minētās atbalstāmās darbības īsteno savu funkciju ietvaros vai ārpakalpojumu veidā, veicot iepirkumu atbilstoši publisko iepirkumu procedūru regulējošiem normatīvajiem aktiem. Iepirkums (konkrēta pakalpojuma vai preču iegāde) jāveic saskaņā ar normatīvajiem aktiem publisko iepirkumu jomā, īstenojot atklātu, pārredzamu, nediskriminējošu un konkurenci neierobežojošu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tiek pārkāptas regulas Nr. 1407/2013 prasības, valsts atbalsta saņēmējs no līdzekļiem, par kuriem nav saņemts valsts atbalsts, atmaksā finansējuma saņēmējam visu projekta ietvaros saņemto </w:t>
      </w:r>
      <w:r w:rsidR="00000000" w:rsidRPr="00000000" w:rsidDel="00000000">
        <w:rPr>
          <w:i w:val="1"/>
          <w:rtl w:val="0"/>
        </w:rPr>
        <w:t xml:space="preserve">de minimis </w:t>
      </w:r>
      <w:r w:rsidR="00000000" w:rsidRPr="00000000" w:rsidDel="00000000">
        <w:rPr>
          <w:rtl w:val="0"/>
        </w:rPr>
        <w:t xml:space="preserve">atbalstu, kas piešķirts saskaņā ar attiecīgo regulu,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pakalpojumu un preču iegādē piemēro normatīvos aktus publisko iepirkumu jomā (iepirkums jāveic saskaņā ar normatīvajiem aktiem publisko iepirkumu jomā, īstenojot atklātu, pārredzamu, nediskriminējošu un konkurenci neierobežojošu procedūru);".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21-TA-326</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21-TA-326</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noteikumu_(grozījumu)_projekts_21-TA-326.docx</dc:title>
</cp:coreProperties>
</file>

<file path=docProps/custom.xml><?xml version="1.0" encoding="utf-8"?>
<Properties xmlns="http://schemas.openxmlformats.org/officeDocument/2006/custom-properties" xmlns:vt="http://schemas.openxmlformats.org/officeDocument/2006/docPropsVTypes"/>
</file>