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 (Latvijas Vēstnesis, 2024,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prognozēšanas rīka testa un produkcijas vides izvietošana labklājības nozares informācijas un komunikācijas tehnoloģiju infrastruktūrā un tam nepieciešamās operatīvās atmiņas, procesora jaudas un datu glabāšanai vajadzīgās diska vietas (turpmāk visi kopā – resursi) noma;".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prognozēšanas rīka tehniskās specifikācijas izstrāde, tai skaitā situācijas priekšizpētes ziņojuma sagatavošana, un prognozēšanas rīka izstrādes kvalitātes uzraudzība;".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15.2.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labklājības nozares informācijas un komunikācijas tehnoloģijas infrastruktūrai nepieciešamo resursu noma prognozēšanas rīka izstrādei, testēšanai un darbības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15.2.</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prognozēšanas rīka kiberdrošības audita veikšana;".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šo noteikumu 14.1. apakšpunktā minētā sadarbības partnera izmaksas par šo noteikumu 15.2.</w:t>
      </w:r>
      <w:r w:rsidR="00000000" w:rsidRPr="00000000" w:rsidDel="00000000">
        <w:rPr>
          <w:vertAlign w:val="superscript"/>
          <w:rtl w:val="0"/>
        </w:rPr>
        <w:t xml:space="preserve">1</w:t>
      </w:r>
      <w:r w:rsidR="00000000" w:rsidRPr="00000000" w:rsidDel="00000000">
        <w:rPr>
          <w:rtl w:val="0"/>
        </w:rPr>
        <w:t xml:space="preserve"> apakšpunktā minēto resursu nomu."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Prognozēšanas rīka izstrādei un uzraudzībai finansējuma saņēmējs ar labklājības ministra rīkojumu izveido nacionālo darba grupu, kas nodrošina ar prognozēšanas rīka izstrādi saistīto jautājumu pārvaldību. Nacionālās darba grupas sastāvā ir finansējuma saņēmēja, Finanšu ministrijas, Viedās administrācijas un reģionālās attīstības ministrijas, Latvijas Bankas, Centrālās statistikas pārvaldes, Latvijas Darba devēju konfederācijas, Latvijas Brīvo arodbiedrību savienības pārstāvji un zinātniskā sektora pārstāvji, kā arī citi pārstāvji pēc nepieciešamības."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nodrošina, ka projekta ietvaros izstrādājamais prognozēšanas rīks tiks saskaņots ar Viedās administrācijas un reģionālās attīstības ministriju atbilstoši normatīvajiem aktiem par valsts informācijas sistēmu attīstības projektu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 nodrošina, ka finansējuma saņēmēja īpašumā atradīsies projekta ietvaros izstrādātā prognozēšanas rīka pirmkodi, intelektuālā īpašuma tiesības, tai skaitā risinājuma modificēšanas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Šo noteikumu 16.3. apakšpunktā minētās izmaksas ir attiecināmas no dienas, kad šo noteikumu 14.1. apakšpunktā minētais sadarbības partneris ir noslēdzis līgumu par šo noteikumu 15.2.</w:t>
      </w:r>
      <w:r w:rsidR="00000000" w:rsidRPr="00000000" w:rsidDel="00000000">
        <w:rPr>
          <w:vertAlign w:val="superscript"/>
          <w:rtl w:val="0"/>
        </w:rPr>
        <w:t xml:space="preserve">1</w:t>
      </w:r>
      <w:r w:rsidR="00000000" w:rsidRPr="00000000" w:rsidDel="00000000">
        <w:rPr>
          <w:rtl w:val="0"/>
        </w:rPr>
        <w:t xml:space="preserve"> apakšpunktā minēto resursu nomu."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25-TA-1753</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25-TA-1753</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noteikumu_(grozījumu)_projekts_25-TA-1753.docx</dc:title>
</cp:coreProperties>
</file>

<file path=docProps/custom.xml><?xml version="1.0" encoding="utf-8"?>
<Properties xmlns="http://schemas.openxmlformats.org/officeDocument/2006/custom-properties" xmlns:vt="http://schemas.openxmlformats.org/officeDocument/2006/docPropsVTypes"/>
</file>