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w:t>
      </w:r>
      <w:r>
        <w:br/>
      </w:r>
      <w:r w:rsidR="00000000" w:rsidRPr="00000000" w:rsidDel="00000000">
        <w:rPr>
          <w:rStyle w:val="paragraph"/>
          <w:i w:val="1"/>
          <w:rtl w:val="0"/>
        </w:rPr>
        <w:t xml:space="preserve">struktūrfondu un Kohēzijas fonda</w:t>
      </w:r>
      <w:r>
        <w:br/>
      </w:r>
      <w:r w:rsidR="00000000" w:rsidRPr="00000000" w:rsidDel="00000000">
        <w:rPr>
          <w:rStyle w:val="paragraph"/>
          <w:i w:val="1"/>
          <w:rtl w:val="0"/>
        </w:rPr>
        <w:t xml:space="preserve">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darbības programmas "Izaugsme un nodarbinātība" prioritārā virziena "Ilgtspējīga transporta sistēma" 6.2.1. specifiskā atbalsta mērķa "Nodrošināt konkurētspējīgu un videi draudzīgu TEN-T dzelzceļa tīklu, veicinot tā drošību, kvalitāti un kapacitāti" (turpmāk – Specifiskais atbalsts) 6.2.1.2. pasākumu "Dzelzceļa infrastruktūras modernizācija un izbūve" (turpmāk – pasākums);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pieejamo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Kohēzijas fonda projekta iesniedzējam;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līguma par projekta īstenošanu vienpusēja uzteikuma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vienkāršoto izmaksu piemērošanas nosacījumus un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uzlabot TEN-T dzelzceļa tīklu, veicinot tā drošību, kvalitāti un kapacitāti.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dzelzceļa infrastruktūras lietotāji un ar tiem saistītie citu transporta veidu satiksmes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ietvaros līdz 2023. gada 31. decembrim sasniedzami šādi uzraudzības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vilcienu kustības ātruma palielināšanās modernizētajā līnijā līdz 140 km/h;</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modernizētās dzelzceļa pasažieru infrastruktūras īpatsvars – 49 %;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iznākuma rādītājs – staciju skaits, kurās uzbūvēti paaugstinātie peroni, – 45;</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iznākuma rādītājs – rekonstruēto vai modernizēto dzelzceļa līniju kopējais garums – 100 km.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814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Pasākumu īsteno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Pasākuma ietvaros atbildīgās iestādes funkcijas pilda Satiksmes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Pasākumam pieejamais kopējais attiecināmais finansējums ir 144 809 128 </w:t>
      </w:r>
      <w:r w:rsidR="00000000" w:rsidRPr="00000000" w:rsidDel="00000000">
        <w:rPr>
          <w:i w:val="1"/>
          <w:rtl w:val="0"/>
        </w:rPr>
        <w:t xml:space="preserve">euro</w:t>
      </w:r>
      <w:r w:rsidR="00000000" w:rsidRPr="00000000" w:rsidDel="00000000">
        <w:rPr>
          <w:rtl w:val="0"/>
        </w:rPr>
        <w:t xml:space="preserve">, tai skaitā Kohēzijas fonda finansējums – 123 087 758 </w:t>
      </w:r>
      <w:r w:rsidR="00000000" w:rsidRPr="00000000" w:rsidDel="00000000">
        <w:rPr>
          <w:i w:val="1"/>
          <w:rtl w:val="0"/>
        </w:rPr>
        <w:t xml:space="preserve">euro</w:t>
      </w:r>
      <w:r w:rsidR="00000000" w:rsidRPr="00000000" w:rsidDel="00000000">
        <w:rPr>
          <w:rtl w:val="0"/>
        </w:rPr>
        <w:t xml:space="preserve"> un privātais finansējums – vismaz 21 721 370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Kohēzijas fonda finansējuma intensitāte ir 85 % no projekta kopējām attiecināmajām izmaksām.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iesniedzējs ir Valsts akciju sabiedrība "Latvijas dzelzceļš".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kas pēc projekta iesnieguma apstiprināšanas ir arī finansējuma saņēmējs (turpmāk – finansējuma saņēmējs), sagatavo un iesniedz projekta iesniegumu Kohēzijas politikas fondu vadības informācijas sistēmā 2014.–2020. gadam saskaņā ar projektu iesniegumu atlases nolikuma prasībām, pievienojot šādu informāciju: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izmaksu un ieguvumu analīzi;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apliecinājumu,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14.12.2021. noteikumiem Nr. 814)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Pasākuma ietvaros atbalstāmās darbības ir Eiropas transporta tīklā esošas dzelzceļa infrastruktūras modernizācija un jaunas infrastruktūras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nozīmīgāko dzelzceļa mezglu pārbūve un atjaunošana;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jaunas dzelzceļa infrastruktūras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dzelzceļa pasažieru infrastruktūras modernizācija;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dzelzceļa signalizācijas sistēmu modernizācija.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14.12.2021. noteikumu Nr. 814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punktā minētās atbalstāmās darbības ietver šādas attiecināmo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atlīdzības izmaksas, kas radušās uz darba līguma vai uzņēmuma līguma pamata, tostarp normatīvajos aktos noteiktās piemaksas un nodokļi, ņemot vērā, ka: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 nepārsniedz 56 580 </w:t>
      </w:r>
      <w:r w:rsidR="00000000" w:rsidRPr="00000000" w:rsidDel="00000000">
        <w:rPr>
          <w:i w:val="1"/>
          <w:rtl w:val="0"/>
        </w:rPr>
        <w:t xml:space="preserve">euro </w:t>
      </w:r>
      <w:r w:rsidR="00000000" w:rsidRPr="00000000" w:rsidDel="00000000">
        <w:rPr>
          <w:rtl w:val="0"/>
        </w:rPr>
        <w:t xml:space="preserve">gadā, ja projekta tiešās attiecināmās izmaksas ir pieci miljoni </w:t>
      </w:r>
      <w:r w:rsidR="00000000" w:rsidRPr="00000000" w:rsidDel="00000000">
        <w:rPr>
          <w:i w:val="1"/>
          <w:rtl w:val="0"/>
        </w:rPr>
        <w:t xml:space="preserve">euro </w:t>
      </w:r>
      <w:r w:rsidR="00000000" w:rsidRPr="00000000" w:rsidDel="00000000">
        <w:rPr>
          <w:rtl w:val="0"/>
        </w:rPr>
        <w:t xml:space="preserve">vai lielākas;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attiecināma ir ne mazāka kā 30 % noslodze, personāla iesaisti projektā nodrošinot saskaņā ar daļlaika attiecināmības principu, ja izmaksas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būvprojekta izstrādes un ar to saistīto būvekspertīžu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un autoruzraudzības izmaksas un normatīvajos aktos noteiktās attiecīgo būvspeciālistu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publiskās lietošanas dzelzceļa infrastruktūras būvniecības, pārbūves vai atjaunošanas izmaksas, tostarp:</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virszemes un pazemes komunikāciju infrastruktūras pārbūve, nepalielinot tās apkalpes jaudu raksturojošos tehniskos parametrus, ja tiek nodrošināts neatkarīga eksperta veiktas ekspertīzes atzinums, kurā konstatēts, ka, veicot projektā plānotās satiksmes pārvadu, tiltu, ielu, ceļu, dzelzceļu un ar to saistītās infrastruktūras būvniecības vai teritorijas labiekārtošanas darbības, nav iespējams izvairīties no minētās infrastruktūras bojāšanas vai pārbūves un ieguldījumi pārbūvē tiek veikti, nemainot tehniskos parametrus un neradot priekšrocības to īpašniekiem;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labiekārtošanas izmaksas atbilstoši būvprojekta risinājumam ne vairāk kā 10 % apmērā no būvdarbu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obligāto ugunsdrošības un citu drošības prasību ievērošanu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pasākumu izmaksas obligāto vides aizsardzības prasību nodrošināšanai, ciktāl to paredz normatīvie akti vides aizsardzības prasību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informācijas tehnoloģiju sistēmas izstrādes un ieviešanas izmaksas, kura nepieciešama valsts publiskās lietošanas dzelzceļa infrastruktūras darbībai, ieviešot vienotu satiksmes vadības sistēmu;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informācijas un publicitātes pasākumu izmaksas atbilstoši normatīvajiem aktiem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attiecināmo izmaksu rezerve ne vairāk kā 10 % apmērā no attiecināmo būvniecības izmaksu kopsummas, ja projekta apstiprināšanas dienā nav apstiprināta projektēšanas nosacījumu izpilde.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apakšpunktā minētās izmaksas kopā nepārsniedz 10 % no projekta būvdarbu līguma summas.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12.2.</w:t>
      </w:r>
      <w:r w:rsidR="00000000" w:rsidRPr="00000000" w:rsidDel="00000000">
        <w:rPr>
          <w:rtl w:val="0"/>
        </w:rPr>
        <w:t xml:space="preserve"> un </w:t>
      </w:r>
      <w:r w:rsidR="00000000" w:rsidRPr="00000000" w:rsidDel="00000000">
        <w:rPr>
          <w:rtl w:val="0"/>
        </w:rPr>
        <w:t xml:space="preserve">12.4.</w:t>
      </w:r>
      <w:r w:rsidR="00000000" w:rsidRPr="00000000" w:rsidDel="00000000">
        <w:rPr>
          <w:rtl w:val="0"/>
        </w:rPr>
        <w:t xml:space="preserve"> apakšpunktā minētās izmaksas kopā nepārsniedz 10 %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Pievienotās vērtības nodokļa izmaksas šo noteikumu </w:t>
      </w:r>
      <w:r w:rsidR="00000000" w:rsidRPr="00000000" w:rsidDel="00000000">
        <w:rPr>
          <w:rtl w:val="0"/>
        </w:rPr>
        <w:t xml:space="preserve">12.</w:t>
      </w:r>
      <w:r w:rsidR="00000000" w:rsidRPr="00000000" w:rsidDel="00000000">
        <w:rPr>
          <w:rtl w:val="0"/>
        </w:rPr>
        <w:t xml:space="preserve"> punktā minētajām izmaksu pozīcijām ir attiecināmas, ja tās nav atmaksājamas nodokļu politiku reglamentējošos normatīvajos aktos noteiktā kārtībā.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netiešās attiecināmās izmaksas plāno kā vienu izmaksu pozīciju 15 % apmērā no šo noteikumu </w:t>
      </w:r>
      <w:r w:rsidR="00000000" w:rsidRPr="00000000" w:rsidDel="00000000">
        <w:rPr>
          <w:rtl w:val="0"/>
        </w:rPr>
        <w:t xml:space="preserve">12.1.</w:t>
      </w:r>
      <w:r w:rsidR="00000000" w:rsidRPr="00000000" w:rsidDel="00000000">
        <w:rPr>
          <w:rtl w:val="0"/>
        </w:rPr>
        <w:t xml:space="preserve"> apakšpunktā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 aprēķina tikai tām izmaksām, kas radušās uz darba līguma pamata;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neiesniedzot sadarbības iestādei izmaksu pamatojošos dokumentus par netiešo attiecināmo izmaksu izlietojumu.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Pasākuma ietvaros ir atbalstāma vides prasību integrācija preču, pakalpojumu un būvdarbu iepirkumos (zaļais publiskais iepirkums).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ietvaros ir atbalstāmas vides un informācijas pieejamības nodrošināšanas izmaksas atbilstoši būvprojekta risinājumam.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ietvaros ir atbalstāmas personu ar invaliditāti intereses pārstāvošo nevalstisko organizāciju ekspertu konsultācijas, tās paredzot projektēšanas vai būvdarbu līguma izmaksu ietvaros.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atbalstāmo darbību ietvaros radušās izmaksas var uzskatīt par attiecināmām finansēšanai no Kohēzijas fonda, ja tās atbilst šo noteikumu </w:t>
      </w:r>
      <w:r w:rsidR="00000000" w:rsidRPr="00000000" w:rsidDel="00000000">
        <w:rPr>
          <w:rtl w:val="0"/>
        </w:rPr>
        <w:t xml:space="preserve">11.</w:t>
      </w:r>
      <w:r w:rsidR="00000000" w:rsidRPr="00000000" w:rsidDel="00000000">
        <w:rPr>
          <w:rtl w:val="0"/>
        </w:rPr>
        <w:t xml:space="preserve"> punktā minētajām atbalstāmajām darbībām, šo noteikumu </w:t>
      </w:r>
      <w:r w:rsidR="00000000" w:rsidRPr="00000000" w:rsidDel="00000000">
        <w:rPr>
          <w:rtl w:val="0"/>
        </w:rPr>
        <w:t xml:space="preserve">12.</w:t>
      </w:r>
      <w:r w:rsidR="00000000" w:rsidRPr="00000000" w:rsidDel="00000000">
        <w:rPr>
          <w:rtl w:val="0"/>
        </w:rPr>
        <w:t xml:space="preserve"> punktā minētajām attiecināmajām izmaksām un šo noteikumu </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14.</w:t>
      </w:r>
      <w:r w:rsidR="00000000" w:rsidRPr="00000000" w:rsidDel="00000000">
        <w:rPr>
          <w:rtl w:val="0"/>
        </w:rPr>
        <w:t xml:space="preserve"> un </w:t>
      </w:r>
      <w:r w:rsidR="00000000" w:rsidRPr="00000000" w:rsidDel="00000000">
        <w:rPr>
          <w:rtl w:val="0"/>
        </w:rPr>
        <w:t xml:space="preserve">16.</w:t>
      </w:r>
      <w:r w:rsidR="00000000" w:rsidRPr="00000000" w:rsidDel="00000000">
        <w:rPr>
          <w:rtl w:val="0"/>
        </w:rPr>
        <w:t xml:space="preserve"> punktā noteiktajiem izmaksu apjoma ierobežojumiem un ir radušās ne agrāk kā 2014. gada 1. janvārī.</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neattiecināmās izmaksas, kuras finansējuma saņēmējs sedz no saviem līdzekļiem,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kas pārsniedz šo noteikumu </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 minētos izmaksu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izmaksas, kas nav noteiktas šo noteikumu </w:t>
      </w:r>
      <w:r w:rsidR="00000000" w:rsidRPr="00000000" w:rsidDel="00000000">
        <w:rPr>
          <w:rtl w:val="0"/>
        </w:rPr>
        <w:t xml:space="preserve">12.</w:t>
      </w:r>
      <w:r w:rsidR="00000000" w:rsidRPr="00000000" w:rsidDel="00000000">
        <w:rPr>
          <w:rtl w:val="0"/>
        </w:rPr>
        <w:t xml:space="preserve"> punktā un nav tieši saistītas ar šo noteikumu </w:t>
      </w:r>
      <w:r w:rsidR="00000000" w:rsidRPr="00000000" w:rsidDel="00000000">
        <w:rPr>
          <w:rtl w:val="0"/>
        </w:rPr>
        <w:t xml:space="preserve">11.</w:t>
      </w:r>
      <w:r w:rsidR="00000000" w:rsidRPr="00000000" w:rsidDel="00000000">
        <w:rPr>
          <w:rtl w:val="0"/>
        </w:rPr>
        <w:t xml:space="preserve"> punktā minētajām atbalstāmajām darbībām, bet ir nepieciešamas sekmīgai projekta īstenošanai.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Pasākuma un projekta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sedz projekta sadārdzinājumu no saviem līdzekļiem, ja projekta izmaksas pieaug;</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rezultātu ilgtspēju piecus gadus pēc projekta pabeigšanas;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projekta īstenošanas rezultātā radīto vērtību uzturēšanu, laikus plānojot uzturēšanas un periodiskus atjaunošanas darbus un finansējumu šiem darbiem turpmākos 20 gadus pēc projekta īstenošanas;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ka infrastruktūras objekts, kurā paredzēts veikt investīcijas, atrodas finansējuma saņēmēja īpašumā vai finansējuma saņēmējs ir saskaņojis būvniecības ieceri ar zemesgabala īpašnieku atbilstoši Būvniecības 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informācijas un publicitātes pasākumus, kas noteikti Eiropas Parlamenta un Padomes 2013. gada 17. decembra Regulā (ES) Nr.  </w:t>
      </w:r>
      <w:r w:rsidR="00000000" w:rsidRPr="00000000" w:rsidDel="00000000">
        <w:rPr>
          <w:rtl w:val="0"/>
        </w:rPr>
        <w:t xml:space="preserve">1303/2013</w:t>
      </w:r>
      <w:r w:rsidR="00000000" w:rsidRPr="00000000" w:rsidDel="00000000">
        <w:rPr>
          <w:rtl w:val="0"/>
        </w:rPr>
        <w:t xml:space="preserve">,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w:t>
      </w:r>
      <w:r w:rsidR="00000000" w:rsidRPr="00000000" w:rsidDel="00000000">
        <w:rPr>
          <w:rtl w:val="0"/>
        </w:rPr>
        <w:t xml:space="preserve">1083/2006</w:t>
      </w:r>
      <w:r w:rsidR="00000000" w:rsidRPr="00000000" w:rsidDel="00000000">
        <w:rPr>
          <w:rtl w:val="0"/>
        </w:rPr>
        <w:t xml:space="preserve">, un normatīvajos aktos par kārtību, kādā Eiropas Savienības struktūrfondu un Kohēzijas fonda ieviešanā 2014.–2020. gada plānošanas periodā nodrošināma komunikācijas un vizuālās identitātes prasību ievērošana;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uzkrāj datus par projekta ietekmi uz šo noteikumu </w:t>
      </w:r>
      <w:r w:rsidR="00000000" w:rsidRPr="00000000" w:rsidDel="00000000">
        <w:rPr>
          <w:rtl w:val="0"/>
        </w:rPr>
        <w:t xml:space="preserve">4.</w:t>
      </w:r>
      <w:r w:rsidR="00000000" w:rsidRPr="00000000" w:rsidDel="00000000">
        <w:rPr>
          <w:rtl w:val="0"/>
        </w:rPr>
        <w:t xml:space="preserve"> punktā minētajiem rādītājiem un nodrošina vienotu metodoloģiju rādītāju uzskaitei pirms un pēc projekta īstenošanas.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Pēc tam kad noslēgts līgums par projekta īstenošanu, sadarbības iestāde, pamatojoties uz finansējuma saņēmēja rakstisku avansa pieprasījumu, atbilstoši normatīvajam aktam par valsts budžeta līdzekļu plānošanu Eiropas Savienības struktūrfondu un Kohēzijas fonda projektu īstenošanai un maksājumu veikšanu 2014.–2020. gada plānošanas periodā nodrošina finansējuma saņēmējam avansa maksājumus, kuru kopsumma nepārsniedz 90 % no projektam piešķirtā Kohēzijas fonda finansējuma. Avansu var izmaksāt vairākos maksājumos.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Sadarbības iestādei ir tiesības vienpusēji atkāpties no noslēgtā līguma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līguma nosacījumus par projekta īstenošanu, tostarp projekta īstenošana nenotiek atbilstoši projektā noteiktajam laika grafikam vai ir iestājušies citi apstākļi atbilstoši Eiropas Savienības un nacionālā līmeņa tiesību aktiem, kas ietekmē vai var ietekmēt pasākuma mērķi, pasākuma iznākuma radītāju vai uzraudzības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citos gadījumos, kas noteikti līgumā par projekta īstenošanu.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Pasākuma ietvaros projektu īsteno saskaņā ar līgumu par projekta īstenošanu, bet ne ilgāk kā līdz 2023. gada 31. decembrim, izņemot šo noteikumu 25.</w:t>
      </w:r>
      <w:r w:rsidR="00000000" w:rsidRPr="00000000" w:rsidDel="00000000">
        <w:rPr>
          <w:vertAlign w:val="superscript"/>
          <w:rtl w:val="0"/>
        </w:rPr>
        <w:t xml:space="preserve">1</w:t>
      </w:r>
      <w:r w:rsidR="00000000" w:rsidRPr="00000000" w:rsidDel="00000000">
        <w:rPr>
          <w:rtl w:val="0"/>
        </w:rPr>
        <w:t xml:space="preserve"> punktā minētos gadījumus.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finansējuma saņēmējs nevar pilnībā pabeigt projektā plānotās aktivitātes un sasniegt projektā plānotos iznākuma rādītājus līdz termiņam, kas noteikts Eiropas Parlamenta un Padomes 2013. gada 17. decembra Regulas (EK)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65. panta 2. punktā, finansējuma saņēmējs pabeidz projektu, to pilnībā vai daļēji finansējot Eiropas Savienības kohēzijas politikas programmas 2021.–2027. gadam ietvaros, ja projektā plānotajām darbībām ir divi finansiāli nošķirami posmi, darbību otrais posms atbilst Eiropas Savienības kohēzijas politikas programmas 2021.–2027. gadam nosacījumiem un tiek finansēts Eiropas Savienības kohēzijas politikas programmas 2021.–2027. gadam ietvaros.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25.</w:t>
      </w:r>
      <w:r w:rsidR="00000000" w:rsidRPr="00000000" w:rsidDel="00000000">
        <w:rPr>
          <w:vertAlign w:val="superscript"/>
          <w:rtl w:val="0"/>
        </w:rPr>
        <w:t xml:space="preserve">1</w:t>
      </w:r>
      <w:r w:rsidR="00000000" w:rsidRPr="00000000" w:rsidDel="00000000">
        <w:rPr>
          <w:rtl w:val="0"/>
        </w:rPr>
        <w:t xml:space="preserve"> punktā minētajā gadījumā finansējuma saņēmējs noslēguma maksājuma pieprasījumā par periodu līdz 2023. gada 31. decembrim nodala laikposmā līdz 2023. gada 31. decembrim veiktos izdevumus, pabeigtās projekta darbības un iznākuma rādītājus no izdevumiem, projekta darbībām un iznākuma rādītājiem, kas tiks veikti, pabeigti un sasniegti pēc 2023. gada 31. decembra.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Šo noteikumu 25.</w:t>
      </w:r>
      <w:r w:rsidR="00000000" w:rsidRPr="00000000" w:rsidDel="00000000">
        <w:rPr>
          <w:vertAlign w:val="superscript"/>
          <w:rtl w:val="0"/>
        </w:rPr>
        <w:t xml:space="preserve">1</w:t>
      </w:r>
      <w:r w:rsidR="00000000" w:rsidRPr="00000000" w:rsidDel="00000000">
        <w:rPr>
          <w:rtl w:val="0"/>
        </w:rPr>
        <w:t xml:space="preserve"> punktā minētajā gadījumā finansējuma saņēmējs ne vēlāk kā līdz 2023. gada 31. decembrim iesniedz sadarbības iestādē priekšlikumus par līguma vai vienošanās par projekta īstenošanu grozījumiem.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Sadarbības iestāde apstiprina šo noteikumu 25.</w:t>
      </w:r>
      <w:r w:rsidR="00000000" w:rsidRPr="00000000" w:rsidDel="00000000">
        <w:rPr>
          <w:vertAlign w:val="superscript"/>
          <w:rtl w:val="0"/>
        </w:rPr>
        <w:t xml:space="preserve">2 </w:t>
      </w:r>
      <w:r w:rsidR="00000000" w:rsidRPr="00000000" w:rsidDel="00000000">
        <w:rPr>
          <w:rtl w:val="0"/>
        </w:rPr>
        <w:t xml:space="preserve">punktā minētajā noslēguma maksājuma pieprasījumā iekļautos attiecināmos izdevumus, kas veikti līdz 2023. gada 31. decembrim, un veic maksājumus par 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finansējuma saņēmējam jānodrošina pilnīga projekta pabeigšana, funkcionalitāte un nodošana ekspluatācijā un noteikto mērķu un rādītāju sasniegšana līdz Eiropas Savienības fondu 2021.–2027. gada plānošanas perioda izdevumu attiecināmības perioda beigām, tas ir, līdz 2029. gada 31. decembrim.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Ja finansējuma saņēmējs šo noteikumu </w:t>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gadījumā nepabeidz visas plānotās projekta darbības un nesasniedz visus plānotos iznākuma rādītājus šo noteikumu </w:t>
      </w:r>
      <w:r w:rsidR="00000000" w:rsidRPr="00000000" w:rsidDel="00000000">
        <w:rPr>
          <w:rtl w:val="0"/>
        </w:rPr>
        <w:t xml:space="preserve">25.</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 termiņā, finansējuma saņēmējam ir pienākums projektā saņemto finansējumu atmaksāt sadarbības iestādei saskaņā ar līguma par projekta īstenošanu nosacījumiem.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nodrošina, ka pēc projekta īstenošanas projekta ietvaros radītā infrastruktūra būs vienlīdzīgi un bez diskriminācijas pieejama visiem potenciālajiem lietotājiem un par piekļuvi šai infrastruktūrai tiks noteikta adekvāta samaksa.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īstenošanas vieta ir Latvijas Republikas teritorija.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23-TA-2958</w:t>
    </w:r>
    <w:r>
      <w:br/>
    </w:r>
    <w:r w:rsidR="00000000" w:rsidRPr="00000000" w:rsidDel="00000000">
      <w:rPr>
        <w:rtl w:val="0"/>
      </w:rPr>
      <w:t xml:space="preserve">Izdrukāts 29.07.2026. 23.23 - 1.0.VK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23-TA-2958</w:t>
    </w:r>
    <w:r>
      <w:br/>
    </w:r>
    <w:r w:rsidR="00000000" w:rsidRPr="00000000" w:rsidDel="00000000">
      <w:rPr>
        <w:rtl w:val="0"/>
      </w:rPr>
      <w:t xml:space="preserve">Izdrukāts 29.07.2026. 23.23 - 1.0.VK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noteikumu_konsolidētā_versija_23-TA-2958.docx</dc:title>
</cp:coreProperties>
</file>

<file path=docProps/custom.xml><?xml version="1.0" encoding="utf-8"?>
<Properties xmlns="http://schemas.openxmlformats.org/officeDocument/2006/custom-properties" xmlns:vt="http://schemas.openxmlformats.org/officeDocument/2006/docPropsVTypes"/>
</file>