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5. maijā (prot. Nr. 25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pasākumu "Enerģētiskās drošības infrastruktūras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piešķirtais atbalsts nav kvalificējams kā komercdarbības atbalsts </w:t>
      </w:r>
      <w:r w:rsidR="00000000" w:rsidRPr="00000000" w:rsidDel="00000000">
        <w:rPr>
          <w:rtl w:val="0"/>
        </w:rPr>
        <w:t xml:space="preserve">Komercdarbības atbalsta kontroles likuma 5. panta</w:t>
      </w:r>
      <w:r w:rsidR="00000000" w:rsidRPr="00000000" w:rsidDel="00000000">
        <w:rPr>
          <w:rtl w:val="0"/>
        </w:rPr>
        <w:t xml:space="preserve">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stiprināt Latvijas enerģētisko drošību un nodrošināt virzību uz enerģētisko neatkarību.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visi Latvijas iedzīvotāji un elektroenerģijas lietotāji.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2030. gada 31. decembrim pasākumā sasniedzamie iznākuma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elektroenerģijas sistēmas jaudu palielināšana. Iznākuma rādītāja vērtība tiek sasniegta, ja pasākuma ietvaros divās apakšstacijās palielināta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pārvietojamās apakšstacijas. Iznākuma rādītāja vērtība tiek sasniegta, ja pasākuma ietvaros iegādāta vismaz viena pārvietojamā apakšstacija.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2030. gada 31. decembrim pasākumā sasniedzamais rezultāta rādītājs – elektroapgādes drošuma palielināšana iedzīvotājiem. Rezultāta rādītāja vērtība tiek sasniegta, ja pasākuma ietvaros palielināts elektroapgādes drošums 1 860 565 iedzīvotājiem.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Klimata un enerģētikas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īstenošanai plānotais un pieejamais kopējais attiecināmais finansējums ir 36 470 589</w:t>
      </w:r>
      <w:r w:rsidR="00000000" w:rsidRPr="00000000" w:rsidDel="00000000">
        <w:rPr>
          <w:i w:val="1"/>
          <w:rtl w:val="0"/>
        </w:rPr>
        <w:t xml:space="preserve"> euro</w:t>
      </w:r>
      <w:r w:rsidR="00000000" w:rsidRPr="00000000" w:rsidDel="00000000">
        <w:rPr>
          <w:rtl w:val="0"/>
        </w:rPr>
        <w:t xml:space="preserve">, tai skaitā Eiropas Reģionālās attīstības fonda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5 470 589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Attiecināmais Eiropas Reģionālās attīstības fonda finansējuma apmērs nepārsniedz 85 procentus no projekta kopējā attiecināmā finansējuma, un nacionālais līdzfinansējums ir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Reģionālās attīstības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kas pēc projekta iesnieguma apstiprināšanas kļūst par finansējuma saņēmēju, ir elektroenerģijas pārvades sistēmas operators akciju sabiedrība "Augstsprieguma tīkls" un elektroenerģijas sadales sistēmas operators akciju sabiedrība "Sadales tīkls".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Akciju sabiedrība "Sadales tīkls" kā finansējuma saņēmējs projektu var īstenot kopā ar sadarbības partneri – akciju sabiedrību "Augstsprieguma tīkls", ja tas nepieciešams projekta mērķa sasniegšanai. Sadarbības partneris ir komersants, ar kuru noslēgts sadarbības līgums un kurš piedalās projekta īstenošanai nepieciešamo darbību veikšanā, rezultātu sasniegšanā un to uzturēšanā.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 Projekta iesniedzējs var iesniegt projekta iesniegumu par summu, kas nepārsniedz šādu Eiropas Reģionālās attīstības fonda un nacionālā līdzfinansējuma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"Sadales tīkls", nepārsniedzot Eiropas Reģionālās attīstības fonda finansējumu 15 000 000</w:t>
      </w:r>
      <w:r w:rsidR="00000000" w:rsidRPr="00000000" w:rsidDel="00000000">
        <w:rPr>
          <w:i w:val="1"/>
          <w:rtl w:val="0"/>
        </w:rPr>
        <w:t xml:space="preserve"> euro </w:t>
      </w:r>
      <w:r w:rsidR="00000000" w:rsidRPr="00000000" w:rsidDel="00000000">
        <w:rPr>
          <w:rtl w:val="0"/>
        </w:rPr>
        <w:t xml:space="preserve">apmērā un</w:t>
      </w:r>
      <w:r w:rsidR="00000000" w:rsidRPr="00000000" w:rsidDel="00000000">
        <w:rPr>
          <w:i w:val="1"/>
          <w:rtl w:val="0"/>
        </w:rPr>
        <w:t xml:space="preserve"> </w:t>
      </w:r>
      <w:r w:rsidR="00000000" w:rsidRPr="00000000" w:rsidDel="00000000">
        <w:rPr>
          <w:rtl w:val="0"/>
        </w:rPr>
        <w:t xml:space="preserve">nacionālo līdzfinansējumu  – 2 647 059</w:t>
      </w:r>
      <w:r w:rsidR="00000000" w:rsidRPr="00000000" w:rsidDel="00000000">
        <w:rPr>
          <w:i w:val="1"/>
          <w:rtl w:val="0"/>
        </w:rPr>
        <w:t xml:space="preserve"> euro </w:t>
      </w:r>
      <w:r w:rsidR="00000000" w:rsidRPr="00000000" w:rsidDel="00000000">
        <w:rPr>
          <w:rtl w:val="0"/>
        </w:rPr>
        <w:t xml:space="preserve">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"Augstsprieguma tīkls", nepārsniedzot Eiropas Reģionālās attīstības fonda finansējumu 16 000 000 </w:t>
      </w:r>
      <w:r w:rsidR="00000000" w:rsidRPr="00000000" w:rsidDel="00000000">
        <w:rPr>
          <w:i w:val="1"/>
          <w:rtl w:val="0"/>
        </w:rPr>
        <w:t xml:space="preserve">euro </w:t>
      </w:r>
      <w:r w:rsidR="00000000" w:rsidRPr="00000000" w:rsidDel="00000000">
        <w:rPr>
          <w:rtl w:val="0"/>
        </w:rPr>
        <w:t xml:space="preserve">apmērā un</w:t>
      </w:r>
      <w:r w:rsidR="00000000" w:rsidRPr="00000000" w:rsidDel="00000000">
        <w:rPr>
          <w:i w:val="1"/>
          <w:rtl w:val="0"/>
        </w:rPr>
        <w:t xml:space="preserve"> </w:t>
      </w:r>
      <w:r w:rsidR="00000000" w:rsidRPr="00000000" w:rsidDel="00000000">
        <w:rPr>
          <w:rtl w:val="0"/>
        </w:rPr>
        <w:t xml:space="preserve">nacionālo līdzfinansējumu – 2 823 530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 kas sekmē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iznākuma rādītāju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rezultāta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sistēmas pieslēguma jaudu palielināšana, tai skaitā nepieciešamo iekārtu iegāde un infrastruktūras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elektrolīniju izbūve vai pārbūve uz apdzīvotām vietām, nodrošinot energoapgādes sistēmas stabilāku darbību un uzlabojot energoapgādes drošumu un kvalitāti;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ģeneratoru iegāde, kas nepieciešami elektroenerģijas sistēmas darbības nepārtrauktības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ģeneratoru pārvietošanai nepieciešamo piekabju vai treileru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pārvietojamu (mobilo) apakšstaciju iegāde, kas nepieciešamas elektroenerģijas sistēmas darbības nepārtrauktības nodrošināšanai un ārkārtas un avārijas seku novēršanas mobilitātes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tehniskās dokumentācijas sagatavošana.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Pasākumā plānotās tiešās attiecināmās izmaksas, kas ir saistītas ar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darbību īstenošanu un projekta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projekta iesniegumu un īstenošanu saistītās pamatojošās dokumentācijas sagatavošanas izmaksas (izņemot izmaksas par projekta iesnieguma informācijas sagatavošanu un aizpildīšanu Kohēzijas politikas fondu vadības informācijas sistēmā), kas nav radušās uz darba līguma pamata,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inženierbūvju, labiekārtojuma elementu un dabā balstīto risinājumu tehnisko specifikāciju, tehnisko projektu vai būvprojektu sagatavošanas izmaksas (tai skaitā ar būvniecības ieceri un būvprojekta minimālā sastāvā saistīto sagatavošanas darbu), lai pielāgotos klimata pārmaiņām, kā arī būvprojekta ekspertīzes izmaksas, ja ekspertīzes veikšanu nosaka būvniecības jomu regulējošie normatīvie akti;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un būvdarbu būvuzraudzības izmaksas, ja to veikšanu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un pakalpojumu līgumu izmaksas, iekārtu iegādes un piegādes līgumu izmaksas, garantijas apkalpošanas izmaksas, izņemot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materiālu, tai skaitā akciju sabiedrības "Sadales tīkls" būvdarbu veicējam izsniegto materiālu, un izejvielu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labiekārtošanas izmaksas, ja tas nepieciešams objekta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kas nepārsniedz piecus procentus no projekta kopējām plānotajām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rezerves izmaksas, kas nepārsniedz 10 procentus no plānoto attiecināmo būvniecības izmaksu kopsummas, ja projektā paredzētas būvniecības darbības un attiecināmajās izmaksās nav iekļauti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minētie neparedzētie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vien tie nav atgūstami saskaņā ar valsts normatīvajiem aktiem pievienotās vērtības nodokļa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regulas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astoņu procentu apmērā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pārējām tiešajām attiecināmajām izmaksām, kas nav 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vienreizēja samaksa zemes īpašniekam, ja investīcijas tiek veiktas uz zemes saskaņā ar </w:t>
      </w:r>
      <w:r w:rsidR="00000000" w:rsidRPr="00000000" w:rsidDel="00000000">
        <w:rPr>
          <w:rtl w:val="0"/>
        </w:rPr>
        <w:t xml:space="preserve">Enerģētikas likuma 19. pantu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komandējumu izmaksas atbilstoši normatīvajiem aktiem par kārtību, kādā atlīdzināmi ar komandējumu saistītie izdevumi finansējuma saņēmēja projekta vadītājam un īstenošanas personālam vai pamatotos gadījumos arī citam projektā iesaistītajam personālam, ja sniegtais pamatojums ir tieši saistīts ar projekta mērķa sasniegšanu.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Pasākumā plānotās netiešās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administratīvās izmaksas, kuras plāno kā vienu izmaksu pozīciju, piemērojot netiešo izmaksu vienoto likmi 15 procentu apmērā no šo noteikumu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pasākumi par projekta īstenošanu. Attiecināmajās izmaksās iekļauj tikai obligātos Eiropas Savienības fondu komunikācijas un vizuālās identitātes prasību īstenošanas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no finansējuma saņēmēja līdzekļiem.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no 2025. gada 29. maija. Projekta iesniegumā neiekļauj līdz projekta iesnieguma iesniegšanas dienai pabeigtas darbības un finansējumu tām nepiešķir.</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var pārdalīt finansējumu starp atbalstāmajām darbībām, nepārsniedzot kopējo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un nodrošinot atbilstību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noteiktajiem izmaksu pozīciju procentuālajiem ierobežojumiem.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ir noslēgts civiltiesiskais līgums par projekta īstenošanu.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Eiropas Reģionālās attīstības fonda finansējuma un valsts budžeta līdzfinansējuma kopsummas, ievērojot, ka avansu var izmaksāt vairākos maksājumos, bet nākamo avansa maksājumu var saņemt pēc tam, kad iepriekšējais ieguldīts pilnā apmērā,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projektus īsteno līdz 2030.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un sniedz informāciju sadarbības iestādei Kohēzijas politikas fondu vadības informācijas sistēmā par projektā sasniegtajiem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izpilda attiecināmās prasības un nodrošina, ka projekts atbilst horizontālajiem principiem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"Klimatdrošināšana" un "Nenodarīt būtisku kaitējumu" īstenošanu un iesniedz šo informāciju sadarbības iestādei Kohēzijas politikas fondu vadības informācijas sistēmā kopā ar noslēguma maksājuma pieprasījumu;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uzņemas segt sadārdzinājumu un nodrošina, lai projekta ietvaros attiecināmās izmaksas nepārklātos ar citiem valsts un ārvalstu finanšu atbalsta instrumentiem, kā arī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ieguldījumus infrastruktūrā finansējuma saņēmējs var veikt savā īpašumā, sadarbības partnera īpašumā, uz cita īpašnieka zemes saskaņā ar </w:t>
      </w:r>
      <w:r w:rsidR="00000000" w:rsidRPr="00000000" w:rsidDel="00000000">
        <w:rPr>
          <w:rtl w:val="0"/>
        </w:rPr>
        <w:t xml:space="preserve">Enerģētikas likuma 19. </w:t>
      </w:r>
      <w:r w:rsidR="00000000" w:rsidRPr="00000000" w:rsidDel="00000000">
        <w:rPr>
          <w:rtl w:val="0"/>
        </w:rPr>
        <w:t xml:space="preserve"> un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vai valdījumā esošā īpašumā, ja valdījuma tiesības ir iegūtas uz termiņu, kas nav īsāks par pieciem gadiem no dienas, kad veikts projekta noslēguma maksājums finansējuma saņēmējam. Īpašuma vai valdījuma tiesības vai lietošanas tiesību aprobežojums ir nostiprināts valsts vienotajā datorizētajā zemesgrāmatā vai arī tos nostiprina zemesgrāmatā līdz projekta noslēguma maksājuma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pēcuzraudzības periodā, kas nepārsniedz piecus gadus pēc pēdējā noslēguma maksājuma veikšanas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ietvaros izbūvējamai elektroenerģijas sadales sistēmas infrastruktūrai ir nepieciešama jauna elektroenerģijas pārvades sistēmas infrastruktūras elementa izbūve vai esošo elementu pārbūve vai atjaunošana, kas pēc izbūves kļūst par akciju sabiedrības "Augstsprieguma tīkls" īpašumu, tad izbūves, pārbūves vai atjaunošanas izmaksas sedz šā projekta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sadarbības līgumā iekļauj informāciju atbilstoši normatīvajiem aktiem par kārtību, kādā Eiropas Savienības fondu vadībā iesaistītās institūcijas nodrošina šo fondu ieviešanu 2021.–2027. gada plānošanas periodā, kā arī paredz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projekta darbības un to apjoms;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īstenojamo atbalstāmo darbību kvalitātes kontrole;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pienākumi, atbildība un pārskatu sniegšanas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partnerim sasniedzamais iznākuma un rezultāta rādītāja apmērs;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norēķinu kārtība ar sadarbības partneri, tai skaitā tam izmaksātā avansa dzēšanas un atgūšanas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un sadarbības partneris projekta īstenošanai nepieciešamās preces un pakalpojumus iegādājas saskaņā ar normatīvajiem aktiem publisko iepirkumu jomā, īstenojot atklātu, pārredzamu, nediskriminējošu un konkurenci nodrošinošu konkursa procedūru.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25-TA-1669</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25-TA-1669</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noteikumu_projekts_25-TA-1669.docx</dc:title>
</cp:coreProperties>
</file>

<file path=docProps/custom.xml><?xml version="1.0" encoding="utf-8"?>
<Properties xmlns="http://schemas.openxmlformats.org/officeDocument/2006/custom-properties" xmlns:vt="http://schemas.openxmlformats.org/officeDocument/2006/docPropsVTypes"/>
</file>