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16. novembra rīkojumā Nr. 841 "Par Eiropas Savienības kohēzijas politikas programmu 2021.-2027.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nodrošināt Eiropas Savienības kohēzijas politikas programmas 2021.-2027.gadam konsolidētās versijas iesniegšanu apstiprināšanai Eiropas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nodrošināt precizējumu veikšanu Eiropas Savienības kohēzijas politikas programmas 2021.-2027.gadam konsolidētajā redakcijā atbilstoši Eiropas Komisijas sniegtajiem komentāriem, ja tādi tiks saņemti, un pēc minēto darbību veikšanas Finanšu ministrijai nodrošināt precizētās Eiropas Savienības kohēzijas politikas programmas 2021.-2027.gadam iesniegšanu apstiprināšanai Eiropas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Gadījumā, ja ir veikti precizējumi Eiropas Savienības kohēzijas politikas programmas 2021.-2027.gadam konsolidētajā redakcijā un, ja veiktie precizējumi nemaina Eiropas Savienības kohēzijas politikas programmas 2021.-2027.gadam konsolidētās redakcijas būtību un plānoto investīciju tvērumu, Finanšu ministrijai nodrošināt Eiropas Savienības kohēzijas politikas programmas 2021.-2027.gadam konsolidētās redakcijas iesniegšanu Valsts kancelejā pēc Eiropas Komisijas lēmuma par Eiropas Savienības kohēzijas politikas programmas 2021.-2027.gadam apstiprināšanu saņemšanas. Gadījumā, ja šī protokollēmuma 4.punktā minētie precizējumi maina Eiropas Savienības kohēzijas politikas programmas 2021.-2027.gadam konsolidētās redakcijas būtību un plānoto investīciju tvērumu, Finanšu ministrijai iesniegt Ministru kabinetā apstiprināšanai precizēto Eiropas Savienības kohēzijas politikas programmu 2021.–2027. gadam pirms tālākas virzības apstiprināšanai Eiropas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Centrālajai finanšu un līgumu aģentūrai slēgt vienošanās par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atklātas projektu iesniegumu atlases ietvaros  visu apstiprināto projektu īstenošanu, tai skaitā, par Eiropas Reģionālās attīstības fonda elastības finansējumu ne vairāk kā 2 471 701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Ņemot vērā Programmā rosinātās finansējuma pārdales, atļaut Viedās administrācijas un reģionālās attīstības ministrijai pirms Eiropas Komisijas lēmuma par vidusposma pārskatu sagatavot un iesniegt izskatīšanai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1.3.1.specifiskā atbalsta mērķa “Izmantot digitalizācijas priekšrocības  iedzīvotājiem, uzņēmumiem, pētniecības organizācijām un publiskajām iestādēm” 1.3.1.3.pasākuma “IKT risinājumu un pakalpojumu kiberdrošības paaugstināšana” (turpmāk – 1.3.1.3.pasākums) noteikumu projektu, paredzot tam ERAF elastības finansējumu no 1.3.1.1.pasākuma “IKT risinājumu un pakalpojumu attīstība un iespēju radīšana privātajam sektoram” 13 939 337 </w:t>
      </w:r>
      <w:r w:rsidR="00000000" w:rsidRPr="00000000" w:rsidDel="00000000">
        <w:rPr>
          <w:i w:val="1"/>
          <w:rtl w:val="0"/>
        </w:rPr>
        <w:t xml:space="preserve">euro</w:t>
      </w:r>
      <w:r w:rsidR="00000000" w:rsidRPr="00000000" w:rsidDel="00000000">
        <w:rPr>
          <w:rtl w:val="0"/>
        </w:rPr>
        <w:t xml:space="preserve">, 1.2.1.specifiskā atbalsta mērķa ““Pētniecības un inovāciju kapacitātes stiprināšana un progresīvu tehnoloģiju ieviešana uzņēmumiem”  1.2.1.1. pasākuma "Atbalsts jaunu produktu attīstībai un internacionalizācijai" 2.kārtas  1 556 666 </w:t>
      </w:r>
      <w:r w:rsidR="00000000" w:rsidRPr="00000000" w:rsidDel="00000000">
        <w:rPr>
          <w:i w:val="1"/>
          <w:rtl w:val="0"/>
        </w:rPr>
        <w:t xml:space="preserve">euro</w:t>
      </w:r>
      <w:r w:rsidR="00000000" w:rsidRPr="00000000" w:rsidDel="00000000">
        <w:rPr>
          <w:rtl w:val="0"/>
        </w:rPr>
        <w:t xml:space="preserve">, un 3.kārtas 2 240 812 </w:t>
      </w:r>
      <w:r w:rsidR="00000000" w:rsidRPr="00000000" w:rsidDel="00000000">
        <w:rPr>
          <w:i w:val="1"/>
          <w:rtl w:val="0"/>
        </w:rPr>
        <w:t xml:space="preserve">euro</w:t>
      </w:r>
      <w:r w:rsidR="00000000" w:rsidRPr="00000000" w:rsidDel="00000000">
        <w:rPr>
          <w:rtl w:val="0"/>
        </w:rPr>
        <w:t xml:space="preserve">, 1.2.1.3.pasākuma "Uzņēmuma atbalsts dalībai kapitāla tirgos" 264 633 </w:t>
      </w:r>
      <w:r w:rsidR="00000000" w:rsidRPr="00000000" w:rsidDel="00000000">
        <w:rPr>
          <w:i w:val="1"/>
          <w:rtl w:val="0"/>
        </w:rPr>
        <w:t xml:space="preserve">euro</w:t>
      </w:r>
      <w:r w:rsidR="00000000" w:rsidRPr="00000000" w:rsidDel="00000000">
        <w:rPr>
          <w:rtl w:val="0"/>
        </w:rPr>
        <w:t xml:space="preserve">, 1.2.1.4.pasākuma "Atbalsts tehnoloģiju pārneses sistēmas pilnveidošanai" 1 055 508 </w:t>
      </w:r>
      <w:r w:rsidR="00000000" w:rsidRPr="00000000" w:rsidDel="00000000">
        <w:rPr>
          <w:i w:val="1"/>
          <w:rtl w:val="0"/>
        </w:rPr>
        <w:t xml:space="preserve">euro</w:t>
      </w:r>
      <w:r w:rsidR="00000000" w:rsidRPr="00000000" w:rsidDel="00000000">
        <w:rPr>
          <w:rtl w:val="0"/>
        </w:rPr>
        <w:t xml:space="preserve">, 1.2.2. specifiskā atbalsta mērķa “Izmantot digitalizācijas priekšrocības uzņēmējdarbības attīstībai” 1.2.2.1.pasākuma "Atbalsts procesu digitalizācijai komercdarbībā"  3 702 009</w:t>
      </w:r>
      <w:r w:rsidR="00000000" w:rsidRPr="00000000" w:rsidDel="00000000">
        <w:rPr>
          <w:i w:val="1"/>
          <w:rtl w:val="0"/>
        </w:rPr>
        <w:t xml:space="preserve"> euro</w:t>
      </w:r>
      <w:r w:rsidR="00000000" w:rsidRPr="00000000" w:rsidDel="00000000">
        <w:rPr>
          <w:rtl w:val="0"/>
        </w:rPr>
        <w:t xml:space="preserve">, 1.2.3.specifiskā atbalsta mērķa "Veicināt ilgtspējīgu izaugsmi, konkurētspēju un darba vietu radīšanu MVU, tostarp ar produktīvām  investīcijām” 1.2.3.6.pasākuma "Tūrisma produktu attīstības programma" 1.kārtas 79 390 </w:t>
      </w:r>
      <w:r w:rsidR="00000000" w:rsidRPr="00000000" w:rsidDel="00000000">
        <w:rPr>
          <w:i w:val="1"/>
          <w:rtl w:val="0"/>
        </w:rPr>
        <w:t xml:space="preserve">euro</w:t>
      </w:r>
      <w:r w:rsidR="00000000" w:rsidRPr="00000000" w:rsidDel="00000000">
        <w:rPr>
          <w:rtl w:val="0"/>
        </w:rPr>
        <w:t xml:space="preserve"> un  2.kārtas 783 976 </w:t>
      </w:r>
      <w:r w:rsidR="00000000" w:rsidRPr="00000000" w:rsidDel="00000000">
        <w:rPr>
          <w:i w:val="1"/>
          <w:rtl w:val="0"/>
        </w:rPr>
        <w:t xml:space="preserve">euro</w:t>
      </w:r>
      <w:r w:rsidR="00000000" w:rsidRPr="00000000" w:rsidDel="00000000">
        <w:rPr>
          <w:rtl w:val="0"/>
        </w:rPr>
        <w:t xml:space="preserve">, 1.1.2.specifiskā atbalsta mērķa 1.1.2.1.pasākuma "RIS3 industriālās prasmes" 9 682 993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2.2.2. specifiskā atbalsta mērķa “Pārejas uz aprites ekonomiku veicināšana” 2.2.2.2. pasākuma “Atkritumu dalītā vākšana” (turpmāk – 2.2.2.2.pasākums) noteikumu projektu, paredzot tam Kohēzijas fonda (turpmāk – KF) finansējumu no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ceturtās projektu iesniegumu atlases kārtas ERAF finansējuma 916 629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5.1.1. specifiskā atbalsta mērķa “Vietējās teritorijas integrētās sociālās, ekonomiskās un vides attīstības un kultūras mantojuma, tūrisma un drošības veicināšana pilsētu funkcionālajās teritorijās” 5.1.1.8. pasākuma “Divējāda lietojuma infrastruktūras attīstība” (turpmāk – 5.1.1.8.pasākums) noteikumu projektu, paredzot tam ERAF elastības finansējumu no 3.1.1. specifiskā atbalsta mērķa “Attīstīt ilgtspējīgu, klimatnoturīgu, inteliģentu, drošu un vairākveidu TEN-T infrastruktūru” 3.1.1.5. pasākuma “Nacionālās nozīmes centru maģistrālo ielu un esošo maršrutu attīstība” 13 812 500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(turpmāk – 5.1.1.9.pasākums) noteikumu projektu, paredzot tam ERAF elastības finansējumu no 2.1.1. specifiskā atbalsta mērķa “Energoefektivitātes veicināšana un siltumnīcefekta gāzu emisiju samazināšana” 2.1.1.2. pasākuma “AER izmantošana un energoefektivitātes paaugstināšana rūpniecībā un komersantos” 5 064 163 </w:t>
      </w:r>
      <w:r w:rsidR="00000000" w:rsidRPr="00000000" w:rsidDel="00000000">
        <w:rPr>
          <w:i w:val="1"/>
          <w:rtl w:val="0"/>
        </w:rPr>
        <w:t xml:space="preserve">euro</w:t>
      </w:r>
      <w:r w:rsidR="00000000" w:rsidRPr="00000000" w:rsidDel="00000000">
        <w:rPr>
          <w:rtl w:val="0"/>
        </w:rPr>
        <w:t xml:space="preserve">, 2.3.1. specifiskā atbalsta mērķa “Veicināt ilgtspējīgu daudzveidu mobilitāti pilsētās” 2.3.1.1. pasākuma “Satiksmes plūsmas viedās tehnoloģijas” 830 587 </w:t>
      </w:r>
      <w:r w:rsidR="00000000" w:rsidRPr="00000000" w:rsidDel="00000000">
        <w:rPr>
          <w:i w:val="1"/>
          <w:rtl w:val="0"/>
        </w:rPr>
        <w:t xml:space="preserve">euro</w:t>
      </w:r>
      <w:r w:rsidR="00000000" w:rsidRPr="00000000" w:rsidDel="00000000">
        <w:rPr>
          <w:rtl w:val="0"/>
        </w:rPr>
        <w:t xml:space="preserve">,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4.2.1.4. pasākuma “Izglītības iestāžu nodrošinājums pilnveidotā vispārējās izglītības satura kvalitatīvai ieviešanai pirmsskolas izglītības pakāpē” 2 186 695 </w:t>
      </w:r>
      <w:r w:rsidR="00000000" w:rsidRPr="00000000" w:rsidDel="00000000">
        <w:rPr>
          <w:i w:val="1"/>
          <w:rtl w:val="0"/>
        </w:rPr>
        <w:t xml:space="preserve">euro</w:t>
      </w:r>
      <w:r w:rsidR="00000000" w:rsidRPr="00000000" w:rsidDel="00000000">
        <w:rPr>
          <w:rtl w:val="0"/>
        </w:rPr>
        <w:t xml:space="preserve">, 4.2.1.6. pasākuma “Profesionālās izglītības iestāžu un koledžu mācību vide nozarēm aktuālo prasmju apguvei” 2. kārtas 1 166 379 </w:t>
      </w:r>
      <w:r w:rsidR="00000000" w:rsidRPr="00000000" w:rsidDel="00000000">
        <w:rPr>
          <w:i w:val="1"/>
          <w:rtl w:val="0"/>
        </w:rPr>
        <w:t xml:space="preserve">euro</w:t>
      </w:r>
      <w:r w:rsidR="00000000" w:rsidRPr="00000000" w:rsidDel="00000000">
        <w:rPr>
          <w:rtl w:val="0"/>
        </w:rPr>
        <w:t xml:space="preserve">, 4.2.1.7. pasākuma “Pirmsskolas izglītības iestāžu infrastruktūras attīstība” 5 186 610 </w:t>
      </w:r>
      <w:r w:rsidR="00000000" w:rsidRPr="00000000" w:rsidDel="00000000">
        <w:rPr>
          <w:i w:val="1"/>
          <w:rtl w:val="0"/>
        </w:rPr>
        <w:t xml:space="preserve">euro</w:t>
      </w:r>
      <w:r w:rsidR="00000000" w:rsidRPr="00000000" w:rsidDel="00000000">
        <w:rPr>
          <w:rtl w:val="0"/>
        </w:rPr>
        <w:t xml:space="preserve">,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3. kārtas 4 675 000 </w:t>
      </w:r>
      <w:r w:rsidR="00000000" w:rsidRPr="00000000" w:rsidDel="00000000">
        <w:rPr>
          <w:i w:val="1"/>
          <w:rtl w:val="0"/>
        </w:rPr>
        <w:t xml:space="preserve">euro</w:t>
      </w:r>
      <w:r w:rsidR="00000000" w:rsidRPr="00000000" w:rsidDel="00000000">
        <w:rPr>
          <w:rtl w:val="0"/>
        </w:rPr>
        <w:t xml:space="preserve">,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4.2.3.2. pasākuma “Neformālās izglītības pieejamība” 1. kārtas 1 377 000 </w:t>
      </w:r>
      <w:r w:rsidR="00000000" w:rsidRPr="00000000" w:rsidDel="00000000">
        <w:rPr>
          <w:i w:val="1"/>
          <w:rtl w:val="0"/>
        </w:rPr>
        <w:t xml:space="preserve">euro</w:t>
      </w:r>
      <w:r w:rsidR="00000000" w:rsidRPr="00000000" w:rsidDel="00000000">
        <w:rPr>
          <w:rtl w:val="0"/>
        </w:rPr>
        <w:t xml:space="preserve"> un 2. kārtas 1 601 406 </w:t>
      </w:r>
      <w:r w:rsidR="00000000" w:rsidRPr="00000000" w:rsidDel="00000000">
        <w:rPr>
          <w:i w:val="1"/>
          <w:rtl w:val="0"/>
        </w:rPr>
        <w:t xml:space="preserve">euro</w:t>
      </w:r>
      <w:r w:rsidR="00000000" w:rsidRPr="00000000" w:rsidDel="00000000">
        <w:rPr>
          <w:rtl w:val="0"/>
        </w:rPr>
        <w:t xml:space="preserve">, 4.2.3.3. pasākuma “Pilsonisko līdzdalību veicinošu kultūras pakalpojumu pieejamības veicināšana” 108 652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Ņemot vērā Programmā rosinātās finansējuma pārdales, atļaut Izglītības un zinātnes ministrijai pirms Eiropas Komisijas lēmuma par grozījumiem Programmā sagatavot un iesniegt izskatīšanai Ministru kabinetā grozījumus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paredzot papildu ERAF finansējumu 1.1.1.5. pasākuma 1.kārtas īstenošanai no 1.1.2.specifiskā atbalsta mērķa “Prasmju attīstīšana viedās specializācijas,  industriālās pārejas un uzņēmējdarbības veicināšanai”  1.1.2.1.pasākuma “RIS3 industriālās prasmes” 4 172 007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Centrālajai finanšu un līgumu aģentūrai kā Eiropas Savienības fondu sadarbības iestādei (turpmāk – CFLA) veikt Programmas tālāk minēto specifisko atbalsta mērķu pasākumu un atlases kārtu projektu iesniegumu atlašu ietvaros iesniegto projektu iesniegumu vērtēšanu un, pēc projektu iesniegumu apstiprināšanas, slēgt ar finansējuma saņēmējiem vienošanās vai līgumu par projektu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1.1.1.specifiskā atbalsta mērķa “Pētniecības un inovāciju kapacitātes stiprināšana un progresīvu tehnoloģiju ieviešana  kopējā P&amp;A sistēmā” 1.1.1.5.pasākuma “Latvijas pilnvērtīga dalība Apvārsnis Eiropa programmā, tajā skaitā nodrošinot kompleksu atbalsta instrumentu klāstu un sasaisti ar RIS3 specializācijas jomu attīstīšanu” (turpmāk – 1.1.1.5.pasākums) otrās projektu iesniegumu atlases kārtai, tai skaitā, par ERAF elastības finansējumu ne vairāk kā 8 565 468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1.3.1.3.pasākumam;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2.2.1. specifiskā atbalsta mērķa “Veicināt ilgtspējīgu ūdenssaimniecību”  2.2.1.1. pasākuma “Notekūdeņu un to dūņu apsaimniekošanas sistēmas attīstība piesārņojuma samazināšanai" (turpmāk – 2.2.1.1.pasākums) trešās projektu iesniegumu atlases kārtai 2.2.1.1.pasākuma pieejamā finansējuma apmērā un otrās projektu iesniegumu atlases kārtai par ERAF elastības finansējumu ne vairāk kā 22 309 636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2.2.2.2.pasākuma otrajai projektu iesniegumu atlases kārtai par KF finansējumu ne vairāk kā 3 318 280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5.1.1.8. pasākumam un 5.1.1.9. pasākumam.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CFLA atļaut veikt vienošanās par projektu īstenošanu grozījumus, palielinot projektu finansējumu par elastības finansējuma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2.1.1.specifiskā atbalsta mērķa “Energoefektivitātes veicināšana un siltumnīcefekta gāzu emisiju samazināšana” 2.1.1.5.pasākuma “Klimata neitrāli risinājumi profesionālās izglītības iestāžu un koledžu izglītības programmās, vidē un infrastruktūrā” (turpmāk – 2.1.1.5.pasākums) ietvaros par ERAF elastības finansējumu ne vairāk kā  2 566 033 euro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4.2.1.specifiskā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4.2.1.6.pasākuma “Profesionālās izglītības iestāžu un koledžu mācību vide nozarēm aktuālo prasmju apguvei” (turpmāk – 4.2.1.6.pasākums) pirmās un trešās projektu iesniegumu atlases kārtas ietvaros par ERAF elastības finansējumu ne vairāk kā 5 232 799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(turpmāk – 4.2.2.3.pasākums) ietvaros par Eiropas Sociālā fonda Plus (turpmāk – ESF+) elastības finansējumu ne vairāk kā 905 295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4.2.3.specifiskā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4.2.3.4.pasākuma “Sekmēt NEET jauniešu integrēšanos izglītībā un nodarbinātībā” (turpmāk – 4.2.3.4.pasākums) ietvaros par Eiropas Sociālā fonda Plus elastības finansējumu ne vairāk kā 875 060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netiek saņemts pozitīvs Eiropas Komisijas lēmums par grozījumiem Programmā, kas skar: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1.3.1.3.pasākuma, 5.1.1.8. pasākuma un 5.1.1.9. pasākuma īstenošanu un 2.2.1.1. pasākuma otrās projektu iesniegumu atlases kārtas elastības finansējuma izmantošanu, Viedās administrācijas un reģionālās attīstības ministrijai nekavējoties sagatavot un iesniegt izskatīšanai Ministru kabinetā informatīvo ziņojumu par priekšlikumiem turpmākai rīcībai;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1.1.1.5. pasākuma pirmās un otrās projektu iesniegumu atlases kārtas, 2.1.1.5.pasākuma, 4.2.1.6.pasākuma pirmās un trešās projektu iesniegumu atlases kārtas, 4.2.2.3.pasākuma un 4.2.3.4.pasākuma elastības finansējuma izmantošanu, Izglītības un zinātnes ministrijai nekavējoties sagatavot un iesniegt izskatīšanai Ministru kabinetā informatīvo ziņojumu par priekšlikumiem turpmākai rīcībai.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Pieņemt zināšanai, ka elastības finansējums kļūst pieejams pēc Eiropas Komisijas lēmuma par programmas grozījumiem. Izņēmuma gadījumā, to objektīvi pamatojot,  ministrija, virzot attiecīgos Ministra kabineta noteikumus par specifiskā atbalsta mērķa vai tā pasākuma īstenošanu vai to grozījumos, Ministru kabineta sēdes protokollēmuma projektā var rosināt ātrāku elastības finansējuma izmantošanu, izvērstu pamatojumu sniedzot sākotnējās ietekmes (ex-ante) novērtējuma ziņojumā.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Satiksmes ministrijai pirms 3.1.1.1.pasākuma “Dzelzceļa infrastruktūras attīstība un energoefektivitātes uzlabošana sabiedriskajos pasažieru pārvadājumos” ietvaros plānoto projektu īstenošanas uzsākšanas, t.i., izstrādājot attiecīgos Ministru kabineta noteikumus par pasākuma īstenošanu, nodrošināt vienotas dzelzceļa infrastruktūras projektu pārvaldības risinājumu, paredzot, ka plānotos dzelzceļa projektus īsteno valsts akciju sabiedrība “Latvijas dzelzceļš”, kā arī rast risinājumu pievienotās vērtības nodokļa segšanai, nepieprasot tā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aktualitāti zaudējušu Ministru kabineta 2024. gada 7.maija sēdes protokollēmuma (prot. Nr. 19 28. §) “Noteikumu projekts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 3. punktu.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25-TA-321</w:t>
    </w:r>
    <w:r>
      <w:br/>
    </w:r>
    <w:r w:rsidR="00000000" w:rsidRPr="00000000" w:rsidDel="00000000">
      <w:rPr>
        <w:rtl w:val="0"/>
      </w:rPr>
      <w:t xml:space="preserve">Izdrukāts 29.07.2026. 23.50 - 2.0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mk_sēdes_protokollēmuma_projekts_25-TA-321.docx</dc:title>
</cp:coreProperties>
</file>

<file path=docProps/custom.xml><?xml version="1.0" encoding="utf-8"?>
<Properties xmlns="http://schemas.openxmlformats.org/officeDocument/2006/custom-properties" xmlns:vt="http://schemas.openxmlformats.org/officeDocument/2006/docPropsVTypes"/>
</file>