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(Latvijas Vēstnesis, 2023,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"15.10. projekta īstenošanas personāla atlīdzības izmaksas un izmaksas, kas radušās uz darba līguma pamata un ir saistītas ar šo noteikumu 15. punktā minēto darbu veikšanu, izņemot materiālu un iekārtu iegādi un būvdarbu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15. punktā minētās 2.4.1.2.i. investīcijas attiecināmās izmaksas (izņemot izmaksas, kas saistītas ar materiālu un iekārtu iegādi un būvdarbu uzraudzību) iespējams attiecināt finansējuma saņēmējam vai sadarbības partnerim,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šo darbu veikšanai netiek piesaistīti apakšuzņēmēji un tās nepārsniedz šo noteikumu 13.1. apakšpunktā minētos izmaksu ierobežojumus attiecināmajām izmaksām, papildus neizslēdzot iepirkumu veikšanu visu pārējo darbu izpildei;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finansējuma saņēmējs vai sadarbības partneris atbilstoši būvniecības normatīvajam regulējumam ir reģistrēts Būvniecības informācijas sistēmā kā šādu būvniecības darbu veicējs un viņa rīcībā ir darbu veikšanai nepieciešamie speciālisti, kuri ir sertificēti attiecīgajā būvniecības jomā un ar kuriem ir noslēgti darba līgumi."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24-TA-607</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24-TA-607</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noteikumu_(grozījumu)_projekts_24-TA-607.docx</dc:title>
</cp:coreProperties>
</file>

<file path=docProps/custom.xml><?xml version="1.0" encoding="utf-8"?>
<Properties xmlns="http://schemas.openxmlformats.org/officeDocument/2006/custom-properties" xmlns:vt="http://schemas.openxmlformats.org/officeDocument/2006/docPropsVTypes"/>
</file>