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(Latvijas Vēstnesis, 2023, 237. nr.; 2025, 78.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pieejamais kopējais attiecināmais finansējums ir 3 304 118 </w:t>
      </w:r>
      <w:r w:rsidR="00000000" w:rsidRPr="00000000" w:rsidDel="00000000">
        <w:rPr>
          <w:i w:val="1"/>
          <w:rtl w:val="0"/>
        </w:rPr>
        <w:t xml:space="preserve">euro</w:t>
      </w:r>
      <w:r w:rsidR="00000000" w:rsidRPr="00000000" w:rsidDel="00000000">
        <w:rPr>
          <w:rtl w:val="0"/>
        </w:rPr>
        <w:t xml:space="preserve">, tai skaitā ESF+ finansējums 2 808 500 </w:t>
      </w:r>
      <w:r w:rsidR="00000000" w:rsidRPr="00000000" w:rsidDel="00000000">
        <w:rPr>
          <w:i w:val="1"/>
          <w:rtl w:val="0"/>
        </w:rPr>
        <w:t xml:space="preserve">euro </w:t>
      </w:r>
      <w:r w:rsidR="00000000" w:rsidRPr="00000000" w:rsidDel="00000000">
        <w:rPr>
          <w:rtl w:val="0"/>
        </w:rPr>
        <w:t xml:space="preserve">un valsts budžeta līdzfinansējums 495 618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izstrādā kārtību, kādā pārliecinās par interešu konflikta, krāpšanas un korupcijas risku neesību,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26-TA-473</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26-TA-473</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noteikumu_(grozījumu)_projekts_26-TA-473.docx</dc:title>
</cp:coreProperties>
</file>

<file path=docProps/custom.xml><?xml version="1.0" encoding="utf-8"?>
<Properties xmlns="http://schemas.openxmlformats.org/officeDocument/2006/custom-properties" xmlns:vt="http://schemas.openxmlformats.org/officeDocument/2006/docPropsVTypes"/>
</file>