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martā (prot. Nr. 13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5 103 176 </w:t>
      </w:r>
      <w:r w:rsidR="00000000" w:rsidRPr="00000000" w:rsidDel="00000000">
        <w:rPr>
          <w:i w:val="1"/>
          <w:rtl w:val="0"/>
        </w:rPr>
        <w:t xml:space="preserve">euro</w:t>
      </w:r>
      <w:r w:rsidR="00000000" w:rsidRPr="00000000" w:rsidDel="00000000">
        <w:rPr>
          <w:rtl w:val="0"/>
        </w:rPr>
        <w:t xml:space="preserve"> apmērā, lai segtu izdevumus, kas radušies saistībā ar Covid-19 infekcijas uzliesmojumu un seku novēršanu 2021. gada decembrī,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ambulatorajiem veselības aprūpes pakalpojumiem 1 920 322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stacionārajiem veselības aprūpes pakalpojumiem  3 058 909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laboratorisko izmeklējumu organizēšanu 110 338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transporta pakalpojumiem 13 607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ar finansējuma saņēmējiem noslēgto pilnvarojuma līgumu ietvaros.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22-TA-576</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22-TA-576</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rīkojuma_projekts_22-TA-576.docx</dc:title>
</cp:coreProperties>
</file>

<file path=docProps/custom.xml><?xml version="1.0" encoding="utf-8"?>
<Properties xmlns="http://schemas.openxmlformats.org/officeDocument/2006/custom-properties" xmlns:vt="http://schemas.openxmlformats.org/officeDocument/2006/docPropsVTypes"/>
</file>