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jūlijā (prot. Nr. 27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30. aprīļa noteikumos Nr. 182 "Šaujamieroču, to būtisko sastāvdaļu un munīcijas, lielas enerģijas pneimatisko ieroču, gāzes ieroču un signālieroču marķēšanas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Ieroču aprites likuma</w:t>
      </w:r>
      <w:r>
        <w:br/>
      </w:r>
      <w:r w:rsidR="00000000" w:rsidRPr="00000000" w:rsidDel="00000000">
        <w:rPr>
          <w:rStyle w:val="paragraph"/>
          <w:i w:val="1"/>
          <w:rtl w:val="0"/>
        </w:rPr>
        <w:t xml:space="preserve">86.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30. aprīļa noteikumos Nr. 182 "Šaujamieroču, to būtisko sastāvdaļu un munīcijas, lielas enerģijas pneimatisko ieroču, gāzes ieroču un signālieroču marķēšanas kārtība" (Latvijas Vēstnesis, 2019, 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Ieroču komersants, kas Latvijā izgatavo A, B un C kategorijas medību, sporta vai pašaizsardzības šaujamieročus, nodrošina, ka šaujamieroču būtisko sastāvdaļu marķēšanā izmanto latīņu alfabēta burtus un arābu ciparus. Būtisko sastāvdaļu marķējumā izmantotais ciparu un burtu izmērs ir vismaz 1,6 mm, bet dziļums – vismaz 0,0762 mm."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Ieroču komersants šo noteikumu 10. punktā minētās informācijas norādīšanai marķējumā var izmantot latīņu, grieķu vai kirilicas alfabēta burtus, kā arī arābu vai romiešu ciparus. Marķējumā izmantoto ciparu un burtu izmērs, kā arī to dziļums atbilst attiecīgi šo noteikumu 4. vai 5.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informatīvās atsauces uz Eiropas Savienības direktīvām 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2021. gada 24. marta Direktīvas (ES) 2021/555 par ieroču iegādes un glabāšanas kontroli;".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Komisijas 2024. gada 19. janvāra Īstenošanas direktīvas (ES) 2024/325, ar ko Īstenošanas direktīvu (ES) 2019/68 groza attiecībā uz šaujamieroču un būtisko daļu marķējumu minimālo dziļumu."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24-TA-1185</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24-TA-1185</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noteikumu_(grozījumu)_projekts_24-TA-1185.docx</dc:title>
</cp:coreProperties>
</file>

<file path=docProps/custom.xml><?xml version="1.0" encoding="utf-8"?>
<Properties xmlns="http://schemas.openxmlformats.org/officeDocument/2006/custom-properties" xmlns:vt="http://schemas.openxmlformats.org/officeDocument/2006/docPropsVTypes"/>
</file>