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pasākumu "Kvalitatīvas un mūsdienīgas izglītības īstenošana pirmsskolas, pamata un vidējās izglītības pakāpē"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finansējuma saņēmējam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STEM – normatīvajos aktos par pirmsskolas izglītības vadlīnijām, valsts pamatizglītības standartu un valsts vispārējās vidējās izglītības standartu (turpmāk – vispārējās izglītības standarti) definētās</w:t>
      </w:r>
      <w:r w:rsidR="00000000" w:rsidRPr="00000000" w:rsidDel="00000000">
        <w:rPr>
          <w:rtl w:val="0"/>
        </w:rPr>
        <w:t xml:space="preserve"> mācību jomas: </w:t>
      </w:r>
      <w:r w:rsidR="00000000" w:rsidRPr="00000000" w:rsidDel="00000000">
        <w:rPr>
          <w:rtl w:val="0"/>
        </w:rPr>
        <w:t xml:space="preserve">dabaszinātnes, matemātika</w:t>
      </w:r>
      <w:r w:rsidR="00000000" w:rsidRPr="00000000" w:rsidDel="00000000">
        <w:rPr>
          <w:rtl w:val="0"/>
        </w:rPr>
        <w:t xml:space="preserve">, </w:t>
      </w:r>
      <w:r w:rsidR="00000000" w:rsidRPr="00000000" w:rsidDel="00000000">
        <w:rPr>
          <w:rtl w:val="0"/>
        </w:rPr>
        <w:t xml:space="preserve">tehnoloģijas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pilsoniskā līdzdalība – vispārējās izglītības standartos definētā pilsoniskās līdzdalības caurviju prasme;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norise – papildus formālajai izglītībai organizēta izglītojoša praktiska nodarbība plašākai mācīšanās pieredzei, mācību satura tematu padziļinātai apguvei, intereses un izpratnes veicināšanai.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izglītojamie obligātajā pirmsskolas izglītības vecumā izglītības iestādēs, kas īsteno pirmsskolas izglītības programmas, un izglītojamie vispārējās izglītības iestādēs un profesionālās izglītības iestādēs, kas īsteno klātienes pamatizglītības un vidējās izglītības programmas.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līdz 2029. gada 31. decembrim –  nacionāla, reģionāla vai vietēja mēroga valsts administrācijas vai sabiedrisko pakalpojumu iestāžu un pakalpojumu skaits, kas saņēmuši atbalstu, – 81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rezultāta rādītājs līdz 2029. gada 31. decembrim – iestādes, kas ieviesušas uzlabojumus izglītības un mācību sistēmu kvalitātei, efektivitātei un atbilstībai darba tirgum, – 81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Nacionālie rādītāji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izglītojamo īpatsvars, kas piedalījušies norisēs, – vismaz 85 % no izglītojamo skaita šo noteikumu </w:t>
      </w:r>
      <w:r w:rsidR="00000000" w:rsidRPr="00000000" w:rsidDel="00000000">
        <w:rPr>
          <w:rtl w:val="0"/>
        </w:rPr>
        <w:t xml:space="preserve">4.</w:t>
      </w:r>
      <w:r w:rsidR="00000000" w:rsidRPr="00000000" w:rsidDel="00000000">
        <w:rPr>
          <w:rtl w:val="0"/>
        </w:rPr>
        <w:t xml:space="preserve"> punktā minētajās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īpatsvars, kuru vidusskolas starpdisciplinārā kursa "Projekta darbs" izvēli ir ietekmējusi norišu apmeklēšanas pieredze, – vismaz 30 % no izglītojamo kopskaita vidusskolas posmā projektā iesaistītajās vispārējās vidējās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izglītojamo īpatsvars, kuru turpmāko mācīšanās izvēli pēc pamatizglītības un vidējās izglītības ieguves ir ietekmējusi norišu apmeklēšanas pieredze, – vismaz 50 % no izglītojamo kopskaita pamata un vidējās izglītības pakāpē projektā iesaistītajās vispārējās un profesionālās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finansējums ir 34 009 600 </w:t>
      </w:r>
      <w:r w:rsidR="00000000" w:rsidRPr="00000000" w:rsidDel="00000000">
        <w:rPr>
          <w:i w:val="1"/>
          <w:rtl w:val="0"/>
        </w:rPr>
        <w:t xml:space="preserve">euro</w:t>
      </w:r>
      <w:r w:rsidR="00000000" w:rsidRPr="00000000" w:rsidDel="00000000">
        <w:rPr>
          <w:rtl w:val="0"/>
        </w:rPr>
        <w:t xml:space="preserve">, ko veido Eiropas Sociālā fonda Plus finansējums – 28 908 160  </w:t>
      </w:r>
      <w:r w:rsidR="00000000" w:rsidRPr="00000000" w:rsidDel="00000000">
        <w:rPr>
          <w:i w:val="1"/>
          <w:rtl w:val="0"/>
        </w:rPr>
        <w:t xml:space="preserve">euro</w:t>
      </w:r>
      <w:r w:rsidR="00000000" w:rsidRPr="00000000" w:rsidDel="00000000">
        <w:rPr>
          <w:rtl w:val="0"/>
        </w:rPr>
        <w:t xml:space="preserve"> un valsts budžeta līdzfinansējums – 5 101 440 </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Sociālā fonda Plus finansējuma intensitāte nav lielāka par 85 procentiem no projekta attiecināmo izmaksu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ir valsts pārvaldes iestāde, kas ir atbildīga par vispārējās izglītības satura īstenošanas pārraudzību un kas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17.3.</w:t>
      </w:r>
      <w:r w:rsidR="00000000" w:rsidRPr="00000000" w:rsidDel="00000000">
        <w:rPr>
          <w:rtl w:val="0"/>
        </w:rPr>
        <w:t xml:space="preserve"> apakšpunktā minētās atbalstāmās darbības īsteno sadarbībā ar pašvaldībām, kas ir pirmsskolas, vispārējās un profesionālās izglītības iestāžu dibinātājas, valsts dibinātām vispārējās un profesionālās izglītības iestādēm (tai skaitā koledžām), valsts augstskolu dibinātām akreditētām izglītības iestādēm un citu juridisku un fizisku personu dibinātām akreditētām pirmsskolas, vispārējās un profesionālās izglītības iestādēm, kas īsteno Latvijā licencētas vispārējās izglītības programmas pirmsskolas, pamata un vidējās izglītības pakāpē un profesionālās izglītības programmas pamata un vidējās izglītības pakāpē.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minētajiem sadarbības partneriem pieejamo finansējuma apmēru šo noteikumu </w:t>
      </w:r>
      <w:r w:rsidR="00000000" w:rsidRPr="00000000" w:rsidDel="00000000">
        <w:rPr>
          <w:rtl w:val="0"/>
        </w:rPr>
        <w:t xml:space="preserve">17.3.</w:t>
      </w:r>
      <w:r w:rsidR="00000000" w:rsidRPr="00000000" w:rsidDel="00000000">
        <w:rPr>
          <w:rtl w:val="0"/>
        </w:rPr>
        <w:t xml:space="preserve"> apakšpunktā minētās atbalstāmās darbības īstenošanai finansējuma saņēmējs aprēķina, pamatojoties uz Valsts izglītības informācijas sistēmas datiem par izglītojamo skaitu kārtējā mācību gada 1. oktobrī.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projekta iesnieguma apstiprināšanas finansējuma saņēmējs ar katru sadarbības partneri slēdz sadarbības līgumu atbilstoši normatīvajiem aktiem par kārtību, kādā Eiropas Savienības fondu vadībā iesaistītās institūcijas nodrošina Eiropas Savienības fondu ieviešanu 2021.–2027. gada plānošanas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lai nodrošinātu sekmīgu projekta īstenošanu, mērķu sasniegšanu un projektam piešķirto līdzekļu lietderīgu un efektīvu izlietošanu, tai skaitā paredzot to funkciju nodalīšanu no iestādes pamatfunkciju izpildes, kuras finansējuma saņēmējs pilda projekta īstenošanā, un sadarbības regulējumu ar šo noteikumu </w:t>
      </w:r>
      <w:r w:rsidR="00000000" w:rsidRPr="00000000" w:rsidDel="00000000">
        <w:rPr>
          <w:rtl w:val="0"/>
        </w:rPr>
        <w:t xml:space="preserve">13.</w:t>
      </w:r>
      <w:r w:rsidR="00000000" w:rsidRPr="00000000" w:rsidDel="00000000">
        <w:rPr>
          <w:rtl w:val="0"/>
        </w:rPr>
        <w:t xml:space="preserve"> punktā minētajiem sadarbības partneriem, kā arī aprakstot, kādas darbības un uzraudzības instrumenti ir plānoti vai ieviesti projekta iesniedzēja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kvalitātes uzraudzības procesu pārskatāmība.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norišu kataloga izveide un uzturēšana;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norišu plānošana un koordinēšana pašvaldībās un izglītības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norišu apmeklēšana;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Pasākumā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 (izņemot virsstundas)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minēto sadarbības partneru projekta vadības un īstenošanas personāla izmaksas (izņemot virsstundas) šo noteikumu </w:t>
      </w:r>
      <w:r w:rsidR="00000000" w:rsidRPr="00000000" w:rsidDel="00000000">
        <w:rPr>
          <w:rtl w:val="0"/>
        </w:rPr>
        <w:t xml:space="preserve">17.2.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sadarbības partnerim šo noteikumu </w:t>
      </w:r>
      <w:r w:rsidR="00000000" w:rsidRPr="00000000" w:rsidDel="00000000">
        <w:rPr>
          <w:rtl w:val="0"/>
        </w:rPr>
        <w:t xml:space="preserve">17.3.</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norises ieejas maksa un izdevumi par biļetēm izglītojamiem un personām, kuras pavada grupu atbilstoši normatīvajiem aktiem, kas nosaka pavadošo personu skaitu (turpmāk – pavadošās personas);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maksa pakalpojuma sniedzējam par norises nodrošināšanu (tehniskās izmaksas, pakalpojuma sniedzēja personāla atlīdzība, tai skaitā autoratlīdzība, kas saistīta ar norises nodrošināšanu, pakalpojuma sniedzēja transporta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norises piekļuves (ieejas) maksa vai maksa par digitālās norises nodrošināšanu;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izdevumi (sabiedriskā transporta biļetes, izdevumi par degvielu un transporta nomu) izglītojamo un pavadošo personu nokļūšanai uz norises vietu un atpakaļ;</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sadarbības partneru ar projekta darbībām tieši saistīto komunikācijas un vizuālās identitātes pasākumu izmaksas (plakātu vai elektronisku paziņojumu un elektronisko displeju izmaksas par saņemto Eiropas Sociālā fonda Plus atbalstu) šo noteikumu </w:t>
      </w:r>
      <w:r w:rsidR="00000000" w:rsidRPr="00000000" w:rsidDel="00000000">
        <w:rPr>
          <w:rtl w:val="0"/>
        </w:rPr>
        <w:t xml:space="preserve">17.5.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 minētās netiešās attiecināmās izmaksas plāno kā vienu izmaksu pozīciju, piemērojot netiešo izmaksu vienoto likmi 7 % apmērā no šo noteikumu </w:t>
      </w:r>
      <w:r w:rsidR="00000000" w:rsidRPr="00000000" w:rsidDel="00000000">
        <w:rPr>
          <w:rtl w:val="0"/>
        </w:rPr>
        <w:t xml:space="preserve">19.</w:t>
      </w:r>
      <w:r w:rsidR="00000000" w:rsidRPr="00000000" w:rsidDel="00000000">
        <w:rPr>
          <w:rtl w:val="0"/>
        </w:rPr>
        <w:t xml:space="preserve"> punktā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 minētās tiešās attiecināmās personāla izmaksas plāno kā vienu izmaksu pozīciju, piemērojot vienoto likmi 15 % apmērā no pārējām tiešajām attiecināmajām izmaksām, kas nav tiešās attiecināmās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 minētajām izmaksām piemēro atbildīgās iestādes izstrādātu un ar vadošo iestādi saskaņotu vienkāršoto izmaksu metodiku. Līdz vienkāršoto izmaksu metodikas apstiprināšanai izmaksas ir attiecināmas kā faktiskās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uzskatāmi par attiecināmajām izmaksām saskaņā regulas Nr.  </w:t>
      </w:r>
      <w:r w:rsidR="00000000" w:rsidRPr="00000000" w:rsidDel="00000000">
        <w:rPr>
          <w:rtl w:val="0"/>
        </w:rPr>
        <w:t xml:space="preserve">2021/1060</w:t>
      </w:r>
      <w:r w:rsidR="00000000" w:rsidRPr="00000000" w:rsidDel="00000000">
        <w:rPr>
          <w:rtl w:val="0"/>
        </w:rPr>
        <w:t xml:space="preserve"> 64. panta 1. punkta "c" apakšpunktā ietvertajiem nosacījumiem, ja tie nav atgūstami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Attiecināmas ir izmaksas horizontālā principa "Vienlīdzība, iekļaušana, nediskriminācija un pamattiesību ievērošana" darbību īstenošanai, tai skaitā zīmju valodas tulku, vieglās valodas tulkošanas, reāllaika transkripcijas, subtitru nodrošināšanas pakalpojumu izmaksas un ekspertu konsultāciju izmaksas, ja tās ir nepieciešamas vides un informācijas piekļūstamības nodrošināšanai.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Izmaksas finansējuma saņēmējam ir attiecināmas no šo noteikumu spēkā stāšanās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minētajiem sadarbības partneriem izmaksas ir attiecināmas no sadarbības līguma noslēgšanas dienas, bet ne agrāk kā no dienas, kad ar finansējuma saņēmēju noslēgta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 minēto jomu norišu plānošanā un īstenošanā finansējuma saņēmējs var paredzēt starpdisciplināru pieeju, integrējot dažādas mācību jomas.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un sadarbības partneri norises plāno šādā proporcijā: 75 % STEM jomā un 25 % pilsoniskajā līdzdalībā.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plāno līdz četrām norisēm katram izglītojamam mācību gadā. Ja veidojas finansējuma pārpalikums, finansējuma saņēmējs var plānot vairāk par četrām norisēm katram izglītojamam mācību gadā, kā arī novirzīt finansējumu papildu izmaksu segšanai norišu apmeklējumam, ja tādas nepieciešamas, prioritāri sociālās atstumtības vai nabadzības riskam pakļautajām grupām.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Norišu iekļaušanai katalogā norises saturs un īstenošanas forma atbilst vispārējās izglītības standartos minētajiem sasniedzamajiem rezultātiem, izglītojamo vecuma un uztveres īpatnībām, prioritāri atbalstot norises, kuru īstenošanā tiek nodrošināts horizontālais princips "Vienlīdzība, iekļaušana, nediskriminācija un pamattiesību ievērošana", kur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prasības saskaņā ar regulas Nr.  </w:t>
      </w:r>
      <w:r w:rsidR="00000000" w:rsidRPr="00000000" w:rsidDel="00000000">
        <w:rPr>
          <w:rtl w:val="0"/>
        </w:rPr>
        <w:t xml:space="preserve">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ir pieejama,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pasākuma ietvaros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Publiskos iepirkumus finansējuma saņēmējs un sadarbības partneri (ja attiecināms)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partneri paraksta interešu konflikta neesības apliecinājumu un projekta īstenošanas laikā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normatīvajiem aktiem publisko iepirkumu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un sadarbības partneris ievēro horizontālo principu "Vienlīdzība, iekļaušana, nediskriminācija un pamattiesību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 minēto uzraudzības rādītāju izpildi un  </w:t>
      </w:r>
      <w:r w:rsidR="00000000" w:rsidRPr="00000000" w:rsidDel="00000000">
        <w:rPr>
          <w:rtl w:val="0"/>
        </w:rPr>
        <w:t xml:space="preserve">6.</w:t>
      </w:r>
      <w:r w:rsidR="00000000" w:rsidRPr="00000000" w:rsidDel="00000000">
        <w:rPr>
          <w:rtl w:val="0"/>
        </w:rPr>
        <w:t xml:space="preserve"> punktā minēto nacionālo rādītāju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rādītāju: 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norišu proporciju STEM jomā un pilsoniskajā līdzdalībā.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un sadarbības partneri projekta īstenošanā nodrošina nepārklāšanās principu ar citiem valsts un ārvalstu finanšu atbalsta instrumentiem un dubultā finansējuma neiestāšanos.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 un nodrošinot demarkāciju ar citiem līdzīgiem vai saistītiem projektiem.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Projektu īsteno saskaņā ar vienošanos par projekta īstenošanu, bet ne ilgāk kā līdz 2029. gada 31. augustam.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Grozījumu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kas paredz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pieejamo finansējuma apmēru aprēķināt, pamatojoties uz Valsts izglītības informācijas sistēmas datiem par izglītojamo skaitu kārtējā mācību gada 1. oktobrī, piemēro, sākot ar 2026./2027. mācību gadu. Finansējuma apmēru par 2025./2026. mācību gadu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finansējuma saņēmējs aprēķina, pamatojoties uz Valsts izglītības informācijas sistēmas datiem par izglītojamo skaitu iepriekšējā mācību gada 1. oktobrī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26-TA-651</w:t>
    </w:r>
    <w:r>
      <w:br/>
    </w:r>
    <w:r w:rsidR="00000000" w:rsidRPr="00000000" w:rsidDel="00000000">
      <w:rPr>
        <w:rtl w:val="0"/>
      </w:rPr>
      <w:t xml:space="preserve">Izdrukāts 30.07.2026. 00.22 - 1.0.VK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26-TA-651</w:t>
    </w:r>
    <w:r>
      <w:br/>
    </w:r>
    <w:r w:rsidR="00000000" w:rsidRPr="00000000" w:rsidDel="00000000">
      <w:rPr>
        <w:rtl w:val="0"/>
      </w:rPr>
      <w:t xml:space="preserve">Izdrukāts 30.07.2026. 00.22 - 1.0.VK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noteikumu_konsolidētā_versija_26-TA-651.docx</dc:title>
</cp:coreProperties>
</file>

<file path=docProps/custom.xml><?xml version="1.0" encoding="utf-8"?>
<Properties xmlns="http://schemas.openxmlformats.org/officeDocument/2006/custom-properties" xmlns:vt="http://schemas.openxmlformats.org/officeDocument/2006/docPropsVTypes"/>
</file>