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maijā (prot. Nr. 21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kas nepārsniedz 780 000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42.05.00 "Valsts izglītības attīstības aģentūras darbības nodrošināšana", lai, pamatojoties uz Ukrainas civiliedzīvotāju atbalsta likumu, līdz 2025. gada 1. decembrim sniegtu atbalstu neformālās izglītības pasākumu nodrošināšanai, tai skaitā latviešu valodas apguvei.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par šā rīkojuma 1. punktā minēto apropriācijas pārdali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25-TA-563</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25-TA-563</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rīkojuma_projekts_25-TA-563.docx</dc:title>
</cp:coreProperties>
</file>

<file path=docProps/custom.xml><?xml version="1.0" encoding="utf-8"?>
<Properties xmlns="http://schemas.openxmlformats.org/officeDocument/2006/custom-properties" xmlns:vt="http://schemas.openxmlformats.org/officeDocument/2006/docPropsVTypes"/>
</file>