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Imigrācijas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Imigrācijas likumā (Latvijas Republikas Saeimas un Ministru Kabineta Ziņotājs, 2002, 24. nr.; 2003, 16. nr.; 2004, 10. nr.; 2005, 14. nr.; 2006, 1., 5., 9. nr.; 2007, 5., 15. nr.; 2008, 3., 13. nr.; 2009, 8. nr.; Latvijas Vēstnesis, 2010, 74. nr.; 2011, 19., 93. nr.; 2013, 250. nr.; 2014, 98., 108. nr.; 2016, 123. nr.; 2017, 36., 242. nr.; 2018, 132. nr.; 2019, 123. nr.; 2021, 176.A nr.; 2022, 49., 70.A, 115., 185.A nr.; 2023, 69.A, 116., 180.A nr.; 2024, 110., 128.A nr.; 2025, 76., 181., 198.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9.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11. punktu pēc skaitļa un vārda "22. punktu" ar skaitļiem un vārdiem "23.</w:t>
      </w:r>
      <w:r w:rsidR="00000000" w:rsidRPr="00000000" w:rsidDel="00000000">
        <w:rPr>
          <w:vertAlign w:val="superscript"/>
          <w:rtl w:val="0"/>
        </w:rPr>
        <w:t xml:space="preserve">1</w:t>
      </w:r>
      <w:r w:rsidR="00000000" w:rsidRPr="00000000" w:rsidDel="00000000">
        <w:rPr>
          <w:rtl w:val="0"/>
        </w:rPr>
        <w:t xml:space="preserve"> panta otrās daļas 9. punktu vai 23.</w:t>
      </w:r>
      <w:r w:rsidR="00000000" w:rsidRPr="00000000" w:rsidDel="00000000">
        <w:rPr>
          <w:vertAlign w:val="superscript"/>
          <w:rtl w:val="0"/>
        </w:rPr>
        <w:t xml:space="preserve">1</w:t>
      </w:r>
      <w:r w:rsidR="00000000" w:rsidRPr="00000000" w:rsidDel="00000000">
        <w:rPr>
          <w:rtl w:val="0"/>
        </w:rPr>
        <w:t xml:space="preserve"> panta trešās daļas 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19. punktu pēc skaitļa un vārda "25. punktu" ar vārdiem un skaitļiem "vai 23.</w:t>
      </w:r>
      <w:r w:rsidR="00000000" w:rsidRPr="00000000" w:rsidDel="00000000">
        <w:rPr>
          <w:vertAlign w:val="superscript"/>
          <w:rtl w:val="0"/>
        </w:rPr>
        <w:t xml:space="preserve">1</w:t>
      </w:r>
      <w:r w:rsidR="00000000" w:rsidRPr="00000000" w:rsidDel="00000000">
        <w:rPr>
          <w:rtl w:val="0"/>
        </w:rPr>
        <w:t xml:space="preserve"> panta trešās daļas 24.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Izteikt 13. panta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Pārstāvniecība ilgtermiņa vīzu pieteikumu pieņemšanu un ilgtermiņa vīzu pieteikumiem pievienoto dokumentu īstuma pārbaudi ir tiesīga deleģēt ārpakalpojumu sniedzējam, noslēdzot atbilstošu deleģēšanas līgumu. Ja pārstāvniecība ilgtermiņa vīzu pieteikumu pieņemšanu deleģē ārpakalpojumu sniedzējam, piemēro Eiropas Parlamenta un Padomes 2009. gada 13. jūlija regulas (EK) Nr. 810/2009, ar ko izveido Kopienas Vīzu kodeksu (Vīzu kodekss), 17., 43. un 44. pantā noteiktos sadarbības principus."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15.</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sz w:val="20"/>
          <w:rtl w:val="0"/>
        </w:rPr>
        <w:t xml:space="preserve"> </w:t>
      </w:r>
      <w:r w:rsidR="00000000" w:rsidRPr="00000000" w:rsidDel="00000000">
        <w:rPr>
          <w:rtl w:val="0"/>
        </w:rPr>
        <w:t xml:space="preserve">Lēmumu par atteikumu apstiprināt ielūgumu vai lēmumu par apstiprināta ielūguma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22.</w:t>
      </w:r>
      <w:r w:rsidR="00000000" w:rsidRPr="00000000" w:rsidDel="00000000">
        <w:rPr>
          <w:vertAlign w:val="superscript"/>
          <w:rtl w:val="0"/>
        </w:rPr>
        <w:t xml:space="preserve">1 </w:t>
      </w:r>
      <w:r w:rsidR="00000000" w:rsidRPr="00000000" w:rsidDel="00000000">
        <w:rPr>
          <w:rtl w:val="0"/>
        </w:rPr>
        <w:t xml:space="preserve">pantu ar 1.</w:t>
      </w:r>
      <w:r w:rsidR="00000000" w:rsidRPr="00000000" w:rsidDel="00000000">
        <w:rPr>
          <w:vertAlign w:val="superscript"/>
          <w:rtl w:val="0"/>
        </w:rPr>
        <w:t xml:space="preserve">1 </w:t>
      </w:r>
      <w:r w:rsidR="00000000" w:rsidRPr="00000000" w:rsidDel="00000000">
        <w:rPr>
          <w:rtl w:val="0"/>
        </w:rPr>
        <w:t xml:space="preserve">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Lēmumu par atteikumu apstiprināt izsaukumu vai lēmumu par apstiprināta izsaukuma atcelšanu noformē, izmantojot veidlapu, kuras paraugu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23.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31.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uz laiku līdz pieciem gadiem, ja pār viņu nodibināta aizbildnība vai aizgādnība vai viņš ir aizbildnis vai aizgādnis Latvijas pilsonim vai Latvijas nepilsonim. Nepilngadīga Latvijas pilsoņa vai Latvijas nepilsoņa dabiskajam aizbildnim ir tiesības pieprasīt termiņuzturēšanās atļauju, ja nepilngadīgajam Latvijas pilsonim vai Latvijas nepilsonim Latvijas Republikā nav cita aizbildņa, kurš veic ikdienas faktisko aizgādību;";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trešās daļas 28. punktu.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Izteikt 24.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7. punkta nosacījums neattiecas uz ārzemnieku, kurš termiņuzturēšanās atļauju saņēmis uz mācību vai studiju laiku saskaņā ar šā likuma 23. panta pirmās daļas 10. vai 10.</w:t>
      </w:r>
      <w:r w:rsidR="00000000" w:rsidRPr="00000000" w:rsidDel="00000000">
        <w:rPr>
          <w:vertAlign w:val="superscript"/>
          <w:rtl w:val="0"/>
        </w:rPr>
        <w:t xml:space="preserve">1</w:t>
      </w:r>
      <w:r w:rsidR="00000000" w:rsidRPr="00000000" w:rsidDel="00000000">
        <w:rPr>
          <w:rtl w:val="0"/>
        </w:rPr>
        <w:t xml:space="preserve"> punktu, 23.</w:t>
      </w:r>
      <w:r w:rsidR="00000000" w:rsidRPr="00000000" w:rsidDel="00000000">
        <w:rPr>
          <w:vertAlign w:val="superscript"/>
          <w:rtl w:val="0"/>
        </w:rPr>
        <w:t xml:space="preserve">1</w:t>
      </w:r>
      <w:r w:rsidR="00000000" w:rsidRPr="00000000" w:rsidDel="00000000">
        <w:rPr>
          <w:rtl w:val="0"/>
        </w:rPr>
        <w:t xml:space="preserve"> panta otrās daļas 3. punktu vai 23.</w:t>
      </w:r>
      <w:r w:rsidR="00000000" w:rsidRPr="00000000" w:rsidDel="00000000">
        <w:rPr>
          <w:vertAlign w:val="superscript"/>
          <w:rtl w:val="0"/>
        </w:rPr>
        <w:t xml:space="preserve">1 </w:t>
      </w:r>
      <w:r w:rsidR="00000000" w:rsidRPr="00000000" w:rsidDel="00000000">
        <w:rPr>
          <w:rtl w:val="0"/>
        </w:rPr>
        <w:t xml:space="preserve">panta trešās daļas 11. vai 12. punktu, kā arī uz ārzemnieku, kurš termiņuzturēšanās atļauju saņēmis saskaņā ar šā likuma 23. panta sesto daļu kā ārzemnieks, kas nav Savienības pilsonis un ir atzīts par cilvēku tirdzniecības upuri, un uz viņa pavadībā esošu nepilngadīgu bērnu."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32.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32. pants.</w:t>
      </w:r>
      <w:r w:rsidR="00000000" w:rsidRPr="00000000" w:rsidDel="00000000">
        <w:rPr>
          <w:rtl w:val="0"/>
        </w:rPr>
        <w:t xml:space="preserve"> (1) Dokumentus uzturēšanās atļaujas pieprasīšanai ārzemnieks var iesniegt: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pārstāvniecībā, kas neatrodas Šengenas līguma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pārstāvniecībā, kas atrodas kādā no Šengenas līguma dalībvalstīm, ja ārzemniekam šajā valstī ir derīga uzturēšanās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Pārvaldē, ja ārzemnieks likumīgi uzturas Latvijas Republikā vai ir bērns, kurš dzimis Latvijas Republikas teritorijā. Šajā punktā noteiktais neattiecas uz ārzemnieku, kuram izdots izbraukšanas rīkojums vai par kuru pieņemts lēmums par piespiedu izraidīšanu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Pārvaldē, ja ārzemnieks uzturas ārpus Latvijas Republikas un dokumentus iesniedz elektroniski (parakstītus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ārpakalpojuma sniedzējam, ar kuru noslēgts atbilstošs deleģēšanas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Pārvalde ir tiesīga deleģēt uzturēšanās atļaujas pieprasīšanai nepieciešamo dokumentu pieņemšanu un ārzemnieku iesniegto dokumentu īstuma pārbaudi ārpakalpojumu sniedzējam, noslēdzot atbilstošu deleģēšanas līgumu. Ārpakalpojumu sniedzējs ir tiesīgs noteikt samērīgu samaksu par sniegtajiem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priekšnieks vai viņa pilnvarota amatpersona var atļaut iesniegt uzturēšanās atļaujas pieprasīšanai nepieciešamos dokumentus Pārvaldē, ja tas atbilst starptautiskajām tiesību normām, Latvijas valsts interesēm vai ir saistīts ar humāniem apsvērumiem vai būtiskiem personīgiem iemesliem.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komersanta ietvaros pārcelta darbinieka nosūtīšana saistīta ar nodarbinātību vairākās Eiropas Savienības dalībvalstīs un pirmā Eiropas Savienības dalībvalsts, uz kuru ārzemnieks nosūtīts, ir Latvijas Republika, un Latvijas Republikā paredzētais uzturēšanās laiks nav īsāks par kādā citā Eiropas Savienības dalībvalstī paredzēto uzturēšanās laiku vai Latvijas Republikā paredzētais uzturēšanās laiks pārsniedz citās Eiropas Savienības dalībvalstīs paredzēto uzturēšanās laiku, viņš dokumentus termiņuzturēšanās atļaujas pieprasīšanai iesniedz saskaņā ar šā panta pirmo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33.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2</w:t>
      </w:r>
      <w:r w:rsidR="00000000" w:rsidRPr="00000000" w:rsidDel="00000000">
        <w:rPr>
          <w:rtl w:val="0"/>
        </w:rPr>
        <w:t xml:space="preserve">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ārzemnieka pieprasījuma uzturēšanās atļauju sagatavo divu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Pārvalde, saņemot ārzemnieka iesniegtos dokumentus uzturēšanās atļaujas pieprasīšanai vai reģistrēšanai, konstatē trūkumus, tā nosaka 14 dienu termiņu trūkumu novēršanai, par to rakstveidā informējot ārzemnieku. Pēc ārzemnieka vai viņa uzaicinātāja lūguma termiņu trūkumu novēršanai var pagarināt. Ja Pārvaldes norādītie trūkumi noteiktajā termiņā netiek novērsti vai Pārvalde konstatē, ka dokumenti uzturēšanās atļaujas pieprasīšanai nav iesniegti šā likuma 32. panta pirmajā daļā noteiktajā kārtībā, Pārvalde atsaka uzturēšanās atļaujas izsniegšanu vai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Šā likuma 3. panta pirmajā daļā minēto iestāžu amatpersonām ir tiesības veikt pārrunas ar ārzemnieku un viņa uzaicinātāju un pieprasīt paskaidrojumus un papildu dokumentus, kas pamato ieceļošanas un uzturēšanās mērķi un ārzemnieka sniegto ziņu patiesumu, kā arī pārbaudīt ārzemnieka vai viņa uzaicinātāja sniegto informāciju, lai pieņemtu lēmumu par izsaukuma apstiprināšanu vai uzturēšanās atļaujas izsniegšanu vai reģistrēšanu, vai anulēšanu."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35.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11.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Ārzemniekam izsniegto termiņuzturēšanās atļauju šā panta pirmās daļas 11. punktā minētajā gadījumā neanulē,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ārzemniekam izsniegta termiņuzturēšanās atļauja saistībā ar nodarbinātību un kopējais bezdarba periods termiņuzturēšanās atļaujas derīguma laikā nepārsniedz trīs mēnešus vai ja ārzemnieks ilgāk nekā divus gadus uzturējies Latvijas Republikā ar termiņuzturēšanās atļauju, kas izsniegta saistībā ar nodarbinātību, un kopējais bezdarba periods termiņuzturēšanās atļaujas derīguma laikā nepārsniedz sešus mēnešus, kā arī ārzemnieks par darba attiecību pārtraukšanu ir paziņojis Pārvaldei. Ja ārzemnieks ticis nodarbināts īpaši ekspluatējošos apstākļos, šajā punktā noteiktie bezdarba periodi tiek pagarināti par trim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invaliditātes, darba nespējas vai bērna kopšanas atvaļinājuma dēļ uz laiku, kas nav ilgāks par 12 mēnešiem, ārzemniekam, kurš uzturas Latvijas Republikā ar Eiropas Savienības zilo karti, nav darba līguma vai viņam noteiktā darba samaksa neatbilst Ministru kabineta noteikumos paredzētajiem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ārzemnieks, kam izsniegta Eiropas Savienības zilā karte, pieprasījis Eiropas Savienības zilo karti citā Eiropas Savienības dalībvalstī, un šī dalībvalsts lēmumu par Eiropas Savienības zilās kartes izsniegšanu vēl nav pieņēmusi."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40.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ārzemnieks turpina uzturēties Latvijas Republikā šā panta ceturtajā daļā paredzētajā gadījumā, viņam saglabā tiesības uz nodarbinātību tādā apjomā, kādā tās bija piešķirtas, izsniedzot to uzturēšanās atļauju, par kuru pieņemtais lēmums ir apstrīdēts vai pārsūdzēts. Šādā gadījumā informāciju par ārzemnieka tiesībām uz nodarbinātību iekļauj lēmumā, ko ārzemnieks apstrīdējis vai pārsūdzējis, vai lēmumā par dokumentu izskatīšanas termiņa pagarināšanu."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informatīvo atsauci uz Eiropas Savienības direktīvām ar 19.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24-TA-3000</w:t>
    </w:r>
    <w:r>
      <w:br/>
    </w:r>
    <w:r w:rsidR="00000000" w:rsidRPr="00000000" w:rsidDel="00000000">
      <w:rPr>
        <w:rtl w:val="0"/>
      </w:rPr>
      <w:t xml:space="preserve">Izdrukāts 29.07.2026. 22.47 - 2.0.VK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likumprojekts_(grozījumi)_24-TA-3000.docx</dc:title>
</cp:coreProperties>
</file>

<file path=docProps/custom.xml><?xml version="1.0" encoding="utf-8"?>
<Properties xmlns="http://schemas.openxmlformats.org/officeDocument/2006/custom-properties" xmlns:vt="http://schemas.openxmlformats.org/officeDocument/2006/docPropsVTypes"/>
</file>