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 kas grozīta ar MK 21.06.2022. noteikumiem Nr. 386)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un to iekārtu nomaiņai, dabas stihijas, zādzības un citu neparedzētu apstākļu dēļ radušos bojājumu likvidēšanai, atsevišķu bojāto vai nolietoto iekārtu nomaiņai;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vai tādu elektronisko sakaru iekārtu konteineru nojaukšanai, kuru augstums nepārsniedz 1,6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1. apakšpunktā minētos būvdarbus, būvvaldē vai birojā iesniedz paziņojumu par būvniecību (1. pielikums). Paziņojumam par būvniecību pievieno būvspeciālista apstiprinātu inženierbūves novietojuma plānu zemes gabalā ar tās ārējiem izmēriem vizuāli uztveramā formā (M 1:250; M 1:500; M 1:1000) uz topogrāfiskā plāna vai situācijas plāna, kurā norādīta nojaucamā inženierbūve vai elektronisko sakaru iekārtu konteiners, un skaidrojošo aprakstu par plānotajiem darbiem un darbu metodēm. Pēc būvdarbu pabeigšanas būvniecības ierosinātājs sagatavo inženierbūves novietojuma izpildmērījuma plānu. 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Piekārto kabeļu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piekārto kabeļu trases shēma, kurā norādīti piekārto kabeļu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norādot projektējamās kabeļu līnijas novietojumu.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r w:rsidR="00000000" w:rsidRPr="00000000" w:rsidDel="00000000">
        <w:rPr>
          <w:rStyle w:val="paragraph"/>
          <w:i w:val="1"/>
          <w:rtl w:val="0"/>
        </w:rPr>
        <w:t xml:space="preserve">; sk. 99.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(piemēram, elektronisko sakaru torņa vai masta būvdarbiem) ir sagatavojams veikto būvdarbu pieņemšanas akts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24-TA-1297</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24-TA-1297</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noteikumu_konsolidētā_versija_24-TA-1297.docx</dc:title>
</cp:coreProperties>
</file>

<file path=docProps/custom.xml><?xml version="1.0" encoding="utf-8"?>
<Properties xmlns="http://schemas.openxmlformats.org/officeDocument/2006/custom-properties" xmlns:vt="http://schemas.openxmlformats.org/officeDocument/2006/docPropsVTypes"/>
</file>