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7.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Kritēriji invaliditātes noteikšanai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&lt;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&lt; 50 % no individuālās vecuma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Kritēriji atzinuma sniegšanai par īpašas kopšanas nepieciešamību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noteikumu_(grozījumu)_projekts_p3_22-TA-346.docx</dc:title>
</cp:coreProperties>
</file>

<file path=docProps/custom.xml><?xml version="1.0" encoding="utf-8"?>
<Properties xmlns="http://schemas.openxmlformats.org/officeDocument/2006/custom-properties" xmlns:vt="http://schemas.openxmlformats.org/officeDocument/2006/docPropsVTypes"/>
</file>