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Noziedzīgi iegūtu līdzekļu legalizācijas un terorisma un proliferācijas finansēšanas novēršanas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Noziedzīgi iegūtu līdzekļu legalizācijas un terorisma un proliferācijas finansēšanas novēršanas likumā (Latvijas Republikas Saeimas un Ministru Kabineta Ziņotājs, 2008, 16. nr.; 2009, 2. nr.; Latvijas Vēstnesis, 2009, 196., 205. nr.; 2011, 60. nr.; 2012, 100. nr.; 2013, 187., 227. nr.; 2014, 172., 257. nr.; 2015, 124. nr.; 2016, 31., 115. nr.; 2017, 132., 222. nr.; 2018, 89., 220. nr.; 2019, 129. nr.; 2021, 121.B, 193. nr.; 2022, 207. nr.; 2023, 231.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7. punktu ar "n" apakšpunktu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 kriptoaktīvu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Likumā lietotie termini "kriptoaktīvu pārvedums" un "pašuzturēta adrese" atbilst Eiropas Parlamenta un Padomes 2023. gada 31. maija regulas (ES) 2023/1113 par līdzekļu un konkrētu kriptoaktīvu pārvedumiem pievienoto informāciju un ar ko groza direktīvu (ES) 2015/849 (turpmāk – Regula Nr. 2023/1113) 3. panta 1. punkta 10. un 20. apakšpunktā lietotajiem terminiem."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3. panta pirmās daļas 11.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Līdzekļi ir atzīstami par noziedzīgi iegūtiem saskaņā ar Krimināllikumā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Papildus Krimināllikumā noteiktajam par noziedzīgi iegūtiem līdzekļiem uzskatāmi līdzekļi, kas izmantoti vai kurus paredzēts izmantot ar terorismu saistītu noziegumu izdarīšanai."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7.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kārtību, kādā, ievērojot kredītiestādes vai finanšu iestādes riska profilu, tiek pārbaudīta to darbinieku piemērotība (atbilstība) veicamajiem darba pienākumiem vai amatam, kuri ir tieši iesaistīti noziedzīgi iegūtu līdzekļu legalizācijas un terorisma un proliferācijas finansēšanas risku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 punktu pēc vārdiem "naudas iestādes" ar vārdiem "ieguldījumu brokeru sabiedrības un kriptoaktīvu pakalpojumu sniedzēji, izņemot gadījumus, kad ir pieņemts uzraudzības un kontroles institūcijas lēmums par audita funkcijas nepiemērošanu".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10.</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18. panta septīto daļu, 18.</w:t>
      </w:r>
      <w:r w:rsidR="00000000" w:rsidRPr="00000000" w:rsidDel="00000000">
        <w:rPr>
          <w:vertAlign w:val="superscript"/>
          <w:rtl w:val="0"/>
        </w:rPr>
        <w:t xml:space="preserve">1</w:t>
      </w:r>
      <w:r w:rsidR="00000000" w:rsidRPr="00000000" w:rsidDel="00000000">
        <w:rPr>
          <w:rtl w:val="0"/>
        </w:rPr>
        <w:t xml:space="preserve"> panta otro daļu, 18.</w:t>
      </w:r>
      <w:r w:rsidR="00000000" w:rsidRPr="00000000" w:rsidDel="00000000">
        <w:rPr>
          <w:vertAlign w:val="superscript"/>
          <w:rtl w:val="0"/>
        </w:rPr>
        <w:t xml:space="preserve">2</w:t>
      </w:r>
      <w:r w:rsidR="00000000" w:rsidRPr="00000000" w:rsidDel="00000000">
        <w:rPr>
          <w:rtl w:val="0"/>
        </w:rPr>
        <w:t xml:space="preserve"> panta otro daļu, 18.</w:t>
      </w:r>
      <w:r w:rsidR="00000000" w:rsidRPr="00000000" w:rsidDel="00000000">
        <w:rPr>
          <w:vertAlign w:val="superscript"/>
          <w:rtl w:val="0"/>
        </w:rPr>
        <w:t xml:space="preserve">5</w:t>
      </w:r>
      <w:r w:rsidR="00000000" w:rsidRPr="00000000" w:rsidDel="00000000">
        <w:rPr>
          <w:rtl w:val="0"/>
        </w:rPr>
        <w:t xml:space="preserve"> panta piekto daļu, 21.</w:t>
      </w:r>
      <w:r w:rsidR="00000000" w:rsidRPr="00000000" w:rsidDel="00000000">
        <w:rPr>
          <w:vertAlign w:val="superscript"/>
          <w:rtl w:val="0"/>
        </w:rPr>
        <w:t xml:space="preserve">1</w:t>
      </w:r>
      <w:r w:rsidR="00000000" w:rsidRPr="00000000" w:rsidDel="00000000">
        <w:rPr>
          <w:rtl w:val="0"/>
        </w:rPr>
        <w:t xml:space="preserve"> pantu, pārejas noteikumu 31., 32., 38. un 67. punktu pēc skaitļa un vārda "1. panta" ar vārdiem "pirmās daļas".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22. panta otro daļu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uzsākot un uzturot darījuma attiecības vai veicot gadījuma rakstura darījumu ar klientu, kas veic kriptoaktīvu pārvedumu uz pašuzturētu adresi vai no tās;".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24. panta nosaukumu un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24. pants. Kredītiestāžu un finanšu iestāžu korespondentattiecības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Kredītiestāde un finanšu iestāde, uzsākot korespondentattiecības ar kredītiestādi vai finanšu iestādi (respondentu), tai skaitā uzsākot korespondentattiecības, kas ietver darījumu izpildi ar augsta riska trešās valsts respondentu, papildus klienta izpētes pasākumiem veic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iegūst informāciju par respondentu, lai pilnībā saprastu respondenta darījumu būtību, tai skaitā iegūst informāciju par to, vai respondentam ir derīga atļauja (licence) finanšu pakalpojumu sniegšanai un vai tā darbība tiek uzraudzīta, kā arī noskaidro, vai dalībvalstī vai trešajā valstī, kurā tiek veikta respondenta uzraudzība, pieņemto normatīvo aktu prasības noziedzīgi iegūtu līdzekļu legalizācijas un terorisma un proliferācijas finansēšanas un sankciju risku pārvaldīšanas jomā ir līdzvērtīgas Latvijas Republikas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publiski pieejamiem avotiem iegūst informāciju par respondenta reputāciju, tai skaitā par respondenta iespējamo iesaisti ar noziedzīgi iegūtu līdzekļu legalizāciju un terorisma un proliferācijas finansēšanu saistītās darbībās vai starptautisko vai nacionālo sankciju prasību pārkāpšanā, un par respondentam piemērotajām sankcijām saistībā ar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novērtē noziedzīgi iegūtu līdzekļu legalizācijas un terorisma un proliferācijas finansēšanas novēršanas pasākumus, ko veic respondents;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saņem valdes vai valdes īpaši pilnvarota valdes locekļa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dokumentē respondenta atbildību noziedzīgi iegūtu līdzekļu legalizācijas un terorisma un proliferācijas finansēšanas novēršanas un starptautisko un nacionālo sankciju risku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pārliecinās, ka respondents, kas izmanto ar tiešu pieeju korespondentkontiem saistītus pakalpojumus, ir pārbaudījis to klientu identitāti, kuriem ir atļauta tieša pieeja korespondentiestādes kontiem, attiecībā uz šiem klientiem ir veicis padziļinātu izpēti un pēc pieprasījuma ir spējīgs iesniegt klienta izpētes datus."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ar 25.</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25.</w:t>
      </w:r>
      <w:r w:rsidR="00000000" w:rsidRPr="00000000" w:rsidDel="00000000">
        <w:rPr>
          <w:b w:val="1"/>
          <w:vertAlign w:val="superscript"/>
          <w:rtl w:val="0"/>
        </w:rPr>
        <w:t xml:space="preserve">2</w:t>
      </w:r>
      <w:r w:rsidR="00000000" w:rsidRPr="00000000" w:rsidDel="00000000">
        <w:rPr>
          <w:b w:val="1"/>
          <w:rtl w:val="0"/>
        </w:rPr>
        <w:t xml:space="preserve"> pants. Kriptoaktīvu pārvedumi uz pašuzturētu adresi vai no tās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Kriptoaktīvu pakalpojumu sniedzējs, nodrošinot kriptoaktīvu pārvedumus uz pašuzturētu adresi vai no tās, novērtē noziedzīgi iegūtu līdzekļu legalizācijas un terorisma un proliferācijas finansēšanas riskus, kas saistīti ar šādiem pārvedumiem, un veic vienu vai vairākus šādus riskus mazinošus pasākumus: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veic uz risku novērtējumu balstītus pasākumus, lai identificētu un pārliecinātos par kriptoaktīvu pārveduma iniciatoru vai saņēmēju, vai to patieso labuma guvēju, tai skaitā ja tie identificēti, paļaujoties uz trešo personu starpniecību;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iegūst papildu informāciju par kriptoaktīvu pārvedumā iekļauto kriptoaktīvu izcelsmi un galamērķi;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pamatojoties uz risku novērtējumu, veic pastiprinātu uzraudzību kriptoaktīvu pārvedumiem, kas ir veikti uz pašuzturētu adresi vai no tās;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veic citus pasākumus, lai mazinātu un pārvaldītu noziedzīgi iegūtu līdzekļu legalizācijas un terorisma un poliferācijas finansēšanas riskus, kā arī starptautisko vai nacionālo sankciju pārkāpšanas vai apiešanas risku."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45. panta pirmās daļas 1. punktu pēc vārdiem "maksājumu iestādes" ar vārdiem "kriptoaktīvu pakalpojumu sniedzējus".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68. 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"68. Šā likuma 1. panta pirmās daļas 2.</w:t>
      </w:r>
      <w:r w:rsidR="00000000" w:rsidRPr="00000000" w:rsidDel="00000000">
        <w:rPr>
          <w:vertAlign w:val="superscript"/>
          <w:rtl w:val="0"/>
        </w:rPr>
        <w:t xml:space="preserve">2</w:t>
      </w:r>
      <w:r w:rsidR="00000000" w:rsidRPr="00000000" w:rsidDel="00000000">
        <w:rPr>
          <w:rtl w:val="0"/>
        </w:rPr>
        <w:t xml:space="preserve">, 2.</w:t>
      </w:r>
      <w:r w:rsidR="00000000" w:rsidRPr="00000000" w:rsidDel="00000000">
        <w:rPr>
          <w:vertAlign w:val="superscript"/>
          <w:rtl w:val="0"/>
        </w:rPr>
        <w:t xml:space="preserve">3</w:t>
      </w:r>
      <w:r w:rsidR="00000000" w:rsidRPr="00000000" w:rsidDel="00000000">
        <w:rPr>
          <w:rtl w:val="0"/>
        </w:rPr>
        <w:t xml:space="preserve"> un 2.</w:t>
      </w:r>
      <w:r w:rsidR="00000000" w:rsidRPr="00000000" w:rsidDel="00000000">
        <w:rPr>
          <w:vertAlign w:val="superscript"/>
          <w:rtl w:val="0"/>
        </w:rPr>
        <w:t xml:space="preserve">4</w:t>
      </w:r>
      <w:r w:rsidR="00000000" w:rsidRPr="00000000" w:rsidDel="00000000">
        <w:rPr>
          <w:rtl w:val="0"/>
        </w:rPr>
        <w:t xml:space="preserve"> punkts, 11. panta pirmās daļas 7. punkts un 11.</w:t>
      </w:r>
      <w:r w:rsidR="00000000" w:rsidRPr="00000000" w:rsidDel="00000000">
        <w:rPr>
          <w:vertAlign w:val="superscript"/>
          <w:rtl w:val="0"/>
        </w:rPr>
        <w:t xml:space="preserve">2</w:t>
      </w:r>
      <w:r w:rsidR="00000000" w:rsidRPr="00000000" w:rsidDel="00000000">
        <w:rPr>
          <w:rtl w:val="0"/>
        </w:rPr>
        <w:t xml:space="preserve"> pants zaudē spēku 2024. gada 29. decembrī. Šā likuma 45. panta otrās daļas 6. punkta "e" apakšpunkts zaudē spēku 2025. gada 30.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70., 71., 72. un 73. 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"70. Šā likuma 1. panta pirmās daļas 7. punkta "n" apakšpunkts, grozījums 1. panta trešajā daļā, 7. panta pirmās daļas 8.</w:t>
      </w:r>
      <w:r w:rsidR="00000000" w:rsidRPr="00000000" w:rsidDel="00000000">
        <w:rPr>
          <w:vertAlign w:val="superscript"/>
          <w:rtl w:val="0"/>
        </w:rPr>
        <w:t xml:space="preserve">1</w:t>
      </w:r>
      <w:r w:rsidR="00000000" w:rsidRPr="00000000" w:rsidDel="00000000">
        <w:rPr>
          <w:rtl w:val="0"/>
        </w:rPr>
        <w:t xml:space="preserve"> punkts, 22. panta otrās daļas 4.</w:t>
      </w:r>
      <w:r w:rsidR="00000000" w:rsidRPr="00000000" w:rsidDel="00000000">
        <w:rPr>
          <w:vertAlign w:val="superscript"/>
          <w:rtl w:val="0"/>
        </w:rPr>
        <w:t xml:space="preserve">1</w:t>
      </w:r>
      <w:r w:rsidR="00000000" w:rsidRPr="00000000" w:rsidDel="00000000">
        <w:rPr>
          <w:rtl w:val="0"/>
        </w:rPr>
        <w:t xml:space="preserve"> punkts, 25.</w:t>
      </w:r>
      <w:r w:rsidR="00000000" w:rsidRPr="00000000" w:rsidDel="00000000">
        <w:rPr>
          <w:vertAlign w:val="superscript"/>
          <w:rtl w:val="0"/>
        </w:rPr>
        <w:t xml:space="preserve">2</w:t>
      </w:r>
      <w:r w:rsidR="00000000" w:rsidRPr="00000000" w:rsidDel="00000000">
        <w:rPr>
          <w:rtl w:val="0"/>
        </w:rPr>
        <w:t xml:space="preserve"> pants, kā arī grozījumi par 3. panta pirmās daļas 11. punkta izslēgšanu, 7. panta pirmās daļas 10. punkta papildināšanu pēc vārdiem "naudas iestādes" ar vārdiem "ieguldījumu brokeru sabiedrības un kriptoaktīvu pakalpojumu sniedzēji, izņemot gadījumus, kad ir pieņemts uzraudzības un kontroles institūcijas lēmums par audita funkcijas nepiemērošanu", 18. panta septītās daļas, 18.</w:t>
      </w:r>
      <w:r w:rsidR="00000000" w:rsidRPr="00000000" w:rsidDel="00000000">
        <w:rPr>
          <w:vertAlign w:val="superscript"/>
          <w:rtl w:val="0"/>
        </w:rPr>
        <w:t xml:space="preserve">1</w:t>
      </w:r>
      <w:r w:rsidR="00000000" w:rsidRPr="00000000" w:rsidDel="00000000">
        <w:rPr>
          <w:rtl w:val="0"/>
        </w:rPr>
        <w:t xml:space="preserve"> panta otrās daļas, 18.</w:t>
      </w:r>
      <w:r w:rsidR="00000000" w:rsidRPr="00000000" w:rsidDel="00000000">
        <w:rPr>
          <w:vertAlign w:val="superscript"/>
          <w:rtl w:val="0"/>
        </w:rPr>
        <w:t xml:space="preserve">2</w:t>
      </w:r>
      <w:r w:rsidR="00000000" w:rsidRPr="00000000" w:rsidDel="00000000">
        <w:rPr>
          <w:rtl w:val="0"/>
        </w:rPr>
        <w:t xml:space="preserve"> panta otrās daļas un 18.</w:t>
      </w:r>
      <w:r w:rsidR="00000000" w:rsidRPr="00000000" w:rsidDel="00000000">
        <w:rPr>
          <w:vertAlign w:val="superscript"/>
          <w:rtl w:val="0"/>
        </w:rPr>
        <w:t xml:space="preserve">5</w:t>
      </w:r>
      <w:r w:rsidR="00000000" w:rsidRPr="00000000" w:rsidDel="00000000">
        <w:rPr>
          <w:rtl w:val="0"/>
        </w:rPr>
        <w:t xml:space="preserve"> panta piektās daļas papildināšanu pēc skaitļa un vārda "1. panta" ar vārdiem "pirmās daļas", 24. panta pirmās daļas izteikšanu jaunā redakcijā un 45. panta pirmās daļas 1. punkta papildināšanu pēc vārdiem "maksājumu iestādes" ar vārdiem "kriptoaktīvu pakalpojumu sniedzējus" stājas spēkā 2024. gada 30. decembrī.</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Kriptoaktīvu pakalpojumu sniedzējs, kuru atbilstoši šā likuma 45. panta otrās daļas 6. punkta "e" apakšpunktam uzrauga Valsts ieņēmumu dienests, no 2024. gada 30. decembra iesniedz Latvijas Bankai pieteikumu par atļaujas izsniegšanu kriptoaktīvu pakalpojumu sniegšanai saskaņā ar Eiropas Parlamenta un Padomes 2023. gada 31. maija regulas (ES) 2023/1114 par kriptoaktīvu tirgiem un ar ko groza regulas (ES) Nr. 1093/2010 un (ES) Nr. 1095/2010 un direktīvas 2013/36/ES un (ES) 2019/1937 (turpmāk – Regula Nr. 2023/1114) prasībām.</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Kriptoaktīvu pakalpojumu sniedzējs, kurš uzsācis sniegt kriptoaktīvu pakalpojumus saskaņā ar šā likuma prasībām pirms 2024. gada 30. decembra un kuru atbilstoši šā likuma 45. panta otrās daļas 6. punkta "e" apakšpunktam uzrauga Valsts ieņēmumu dienests, var turpināt sniegt kriptoaktīvu pakalpojumus līdz 2025. gada 30. jūnijam vai līdz dienai, kad Latvijas Banka tam ir izsniegusi vai atteikusi izsniegt atļauju kriptoaktīvu pakalpojumu sniegšanai saskaņā ar Regulas Nr. 2023/1114 prasībām. Uz šādu kriptoaktīvu pakalpojumu sniedzēju nav attiecināmas šajā likumā noteiktās finanšu iestādes tiesības un pienākumi.</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Valsts ieņēmumu dienests turpina kriptoaktīvu pakalpojuma sniedzēju, kurš uzsācis sniegt kriptoaktīvu pakalpojumus saskaņā ar šā likuma prasībām pirms 2024. gada 30. decembra, uzraudzīt atbilstoši šim likumam līdz dienai, kad Latvijas Banka tam ir izsniegusi vai atteikusi izsniegt atļauju kriptoaktīvu pakalpojumu sniegšanai saskaņā ar Regulas Nr. 2023/1114 prasībām, bet ne ilgāk kā līdz 2025. gada 30. jūnijam. Valsts ieņēmumu dienests no 2024. gada 30. decembra nereģistrē jaunus kriptoaktīvu pakalpojumu sniedzējus."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23-TA-3261</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23-TA-3261</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likumprojekts_(grozījumi)_23-TA-3261.docx</dc:title>
</cp:coreProperties>
</file>

<file path=docProps/custom.xml><?xml version="1.0" encoding="utf-8"?>
<Properties xmlns="http://schemas.openxmlformats.org/officeDocument/2006/custom-properties" xmlns:vt="http://schemas.openxmlformats.org/officeDocument/2006/docPropsVTypes"/>
</file>