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25. marta noteikumos Nr. 195 "Mašīnu drošības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2008. gada 25. marta noteikumos Nr. 195 "Mašīnu drošības noteikumi" (Latvijas Vēstnesis, 2008, 49. nr.; 2010, 21. nr.; 2011, 52. nr.; 2012, 62. nr.; 2018, 245.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krīzē būtiskas preces – Eiropas Parlamenta un Padomes 2024. gada 9. oktobra Regulas Nr. 2024/2747, ar ko izveido pasākumu satvaru saistībā ar iekšējā tirgus ārkārtas situāciju un iekšējā tirgus noturību un groza Padomes Regulu (EK) Nr. 2679/98 (Iekšējā tirgus ārkārtas situācijas un noturības akts) (turpmāk – regula Nr. 2024/2747), 3. panta 6. punktā definētās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iekšējā tirgus ārkārtas situācijas režīms – regulas Nr. 2024/2747 3. panta 3. punktā definētais režīms.";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Par krīzē būtiskām precēm atzītu mašīnu atbilstības novērtēšana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w:t>
      </w:r>
      <w:r w:rsidR="00000000" w:rsidRPr="00000000" w:rsidDel="00000000">
        <w:rPr>
          <w:rtl w:val="0"/>
        </w:rPr>
        <w:t xml:space="preserve"> Paziņotā institūcija dara visu iespējamo, lai prioritārā kārtā izskatītu pieteikumus par tādu mašīnu atbilstības novērtēšanu, kuras atzītas par krīzē būtisku preci.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2</w:t>
      </w:r>
      <w:r w:rsidR="00000000" w:rsidRPr="00000000" w:rsidDel="00000000">
        <w:rPr>
          <w:rtl w:val="0"/>
        </w:rPr>
        <w:t xml:space="preserve"> Paziņotā institūcija nerada nesamērīgas papildu izmaksas ražotājiem, kas prioritārā kārtā iesnieguši šo noteikumu 318.</w:t>
      </w:r>
      <w:r w:rsidR="00000000" w:rsidRPr="00000000" w:rsidDel="00000000">
        <w:rPr>
          <w:vertAlign w:val="superscript"/>
          <w:rtl w:val="0"/>
        </w:rPr>
        <w:t xml:space="preserve">1</w:t>
      </w:r>
      <w:r w:rsidR="00000000" w:rsidRPr="00000000" w:rsidDel="00000000">
        <w:rPr>
          <w:rtl w:val="0"/>
        </w:rPr>
        <w:t xml:space="preserve"> punktā minētos pieteikumus.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3</w:t>
      </w:r>
      <w:r w:rsidR="00000000" w:rsidRPr="00000000" w:rsidDel="00000000">
        <w:rPr>
          <w:rtl w:val="0"/>
        </w:rPr>
        <w:t xml:space="preserve"> Paziņotā institūcija iekšējā tirgus ārkārtas situācijas režīmā cenšas palielināt savas testēšanas iespējas attiecībā uz mašīnām, kas atzītas par krīzē būtisku preci un par kurām tām ir paziņots.";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vertAlign w:val="superscript"/>
          <w:rtl w:val="0"/>
        </w:rPr>
        <w:t xml:space="preserve">2</w:t>
      </w:r>
      <w:r w:rsidR="00000000" w:rsidRPr="00000000" w:rsidDel="00000000">
        <w:rPr>
          <w:b w:val="1"/>
          <w:rtl w:val="0"/>
        </w:rPr>
        <w:t xml:space="preserve"> Krīzē būtiskām precēm pieļaujamā atkāpe attiecībā uz atbilstības novērtēšanas procedūrām, kurās ir iesaistīta paziņotā institūcija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4</w:t>
      </w:r>
      <w:r w:rsidR="00000000" w:rsidRPr="00000000" w:rsidDel="00000000">
        <w:rPr>
          <w:rtl w:val="0"/>
        </w:rPr>
        <w:t xml:space="preserve"> Tirgus uzraudzības iestāde pēc pamatota iesaistītās personas pieprasījuma var izsniegt atļauju laist tirgū vai nodot lietošanā konkrētu mašīnu, kurai nav veiktas šo noteikumu 3. nodaļā minētās atbilstības novērtēšanas procedūras, ja ir apliecināta atbilstība šo noteikumu 9. nodaļā minētajām būtiskajām veselības aizsardzības un drošuma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6</w:t>
      </w:r>
      <w:r w:rsidR="00000000" w:rsidRPr="00000000" w:rsidDel="00000000">
        <w:rPr>
          <w:rtl w:val="0"/>
        </w:rPr>
        <w:t xml:space="preserve"> Tirgus uzraudzības iestāde nekavējoties informē Eiropas Komisiju un pārējās dalībvalstis par atļaujām, kas piešķirtas saskaņā ar šo noteikumu 318.</w:t>
      </w:r>
      <w:r w:rsidR="00000000" w:rsidRPr="00000000" w:rsidDel="00000000">
        <w:rPr>
          <w:vertAlign w:val="superscript"/>
          <w:rtl w:val="0"/>
        </w:rPr>
        <w:t xml:space="preserve">4</w:t>
      </w:r>
      <w:r w:rsidR="00000000" w:rsidRPr="00000000" w:rsidDel="00000000">
        <w:rPr>
          <w:rtl w:val="0"/>
        </w:rPr>
        <w:t xml:space="preserve"> un 318.</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7</w:t>
      </w:r>
      <w:r w:rsidR="00000000" w:rsidRPr="00000000" w:rsidDel="00000000">
        <w:rPr>
          <w:rtl w:val="0"/>
        </w:rPr>
        <w:t xml:space="preserve"> Uz mašīnām, ko saskaņā ar šo noteikumu 318.</w:t>
      </w:r>
      <w:r w:rsidR="00000000" w:rsidRPr="00000000" w:rsidDel="00000000">
        <w:rPr>
          <w:vertAlign w:val="superscript"/>
          <w:rtl w:val="0"/>
        </w:rPr>
        <w:t xml:space="preserve">4</w:t>
      </w:r>
      <w:r w:rsidR="00000000" w:rsidRPr="00000000" w:rsidDel="00000000">
        <w:rPr>
          <w:rtl w:val="0"/>
        </w:rPr>
        <w:t xml:space="preserve"> punktā minēto atkāpi atļauts laist tirgū vai nodot lietošanā, izvieto norādi, ka tā ir krīzē būtiska prece. Norādītā informācija ir valsts valodā, tā ir skaidra un saprotama.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8</w:t>
      </w:r>
      <w:r w:rsidR="00000000" w:rsidRPr="00000000" w:rsidDel="00000000">
        <w:rPr>
          <w:rtl w:val="0"/>
        </w:rPr>
        <w:t xml:space="preserve"> Mašīnu ražotāji, pamatojoties uz tehnisko dokumentāciju, apliecina, ka to mašīnas, kam piemēro šo noteikumu 318.</w:t>
      </w:r>
      <w:r w:rsidR="00000000" w:rsidRPr="00000000" w:rsidDel="00000000">
        <w:rPr>
          <w:vertAlign w:val="superscript"/>
          <w:rtl w:val="0"/>
        </w:rPr>
        <w:t xml:space="preserve">4</w:t>
      </w:r>
      <w:r w:rsidR="00000000" w:rsidRPr="00000000" w:rsidDel="00000000">
        <w:rPr>
          <w:rtl w:val="0"/>
        </w:rPr>
        <w:t xml:space="preserve"> punktā minēto atkāpi, atbilst visām šo noteikumu 9. nodaļā minētajām būtiskajām veselības aizsardzības un drošuma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9</w:t>
      </w:r>
      <w:r w:rsidR="00000000" w:rsidRPr="00000000" w:rsidDel="00000000">
        <w:rPr>
          <w:rtl w:val="0"/>
        </w:rPr>
        <w:t xml:space="preserve"> Tirgus uzraudzības iestādes atļaujā, kas izsniegta, pamatojoties uz šo noteikumu 318.</w:t>
      </w:r>
      <w:r w:rsidR="00000000" w:rsidRPr="00000000" w:rsidDel="00000000">
        <w:rPr>
          <w:vertAlign w:val="superscript"/>
          <w:rtl w:val="0"/>
        </w:rPr>
        <w:t xml:space="preserve">4</w:t>
      </w:r>
      <w:r w:rsidR="00000000" w:rsidRPr="00000000" w:rsidDel="00000000">
        <w:rPr>
          <w:rtl w:val="0"/>
        </w:rPr>
        <w:t xml:space="preserve"> punktu,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9</w:t>
      </w:r>
      <w:r w:rsidR="00000000" w:rsidRPr="00000000" w:rsidDel="00000000">
        <w:rPr>
          <w:rtl w:val="0"/>
        </w:rPr>
        <w:t xml:space="preserve">1. procedūru aprakstu, ar kurām pierādīta atbilstība šo noteikumu 9. nodaļā minētajām būtiskajām veselības aizsardzības un drošuma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9</w:t>
      </w:r>
      <w:r w:rsidR="00000000" w:rsidRPr="00000000" w:rsidDel="00000000">
        <w:rPr>
          <w:rtl w:val="0"/>
        </w:rPr>
        <w:t xml:space="preserve">2. īpašās prasības attiecībā uz konkrētās mašīnas izsekojamību;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9</w:t>
      </w:r>
      <w:r w:rsidR="00000000" w:rsidRPr="00000000" w:rsidDel="00000000">
        <w:rPr>
          <w:rtl w:val="0"/>
        </w:rPr>
        <w:t xml:space="preserve">3. atļaujas derīguma pēdējo dienu, kas nevar būt vēlāka par tā laikposma pēdējo dienu, ar kuru aktivizēts iekšējā tirgus ārkārtas situācijas režīms saskaņā ar regulas Nr. 2024/2747 18.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9</w:t>
      </w:r>
      <w:r w:rsidR="00000000" w:rsidRPr="00000000" w:rsidDel="00000000">
        <w:rPr>
          <w:rtl w:val="0"/>
        </w:rPr>
        <w:t xml:space="preserve">4. īpašās prasības, kas attiecas uz nepieciešamību nodrošināt nepārtrauktu konkrētās mašīnas atbilstības novērtēšanu;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9</w:t>
      </w:r>
      <w:r w:rsidR="00000000" w:rsidRPr="00000000" w:rsidDel="00000000">
        <w:rPr>
          <w:rtl w:val="0"/>
        </w:rPr>
        <w:t xml:space="preserve">5. pasākumus, kas jāveic attiecībā uz konkrēto tirgū laisto vai lietošanā nodoto mašīnu pēc iekšējā tirgus ārkārtas situācijas režīma izbeigšanās vai deaktivizēšanas.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10</w:t>
      </w:r>
      <w:r w:rsidR="00000000" w:rsidRPr="00000000" w:rsidDel="00000000">
        <w:rPr>
          <w:rtl w:val="0"/>
        </w:rPr>
        <w:t xml:space="preserve"> Mašīnas, kam piemēro šo noteikumu 318.</w:t>
      </w:r>
      <w:r w:rsidR="00000000" w:rsidRPr="00000000" w:rsidDel="00000000">
        <w:rPr>
          <w:vertAlign w:val="superscript"/>
          <w:rtl w:val="0"/>
        </w:rPr>
        <w:t xml:space="preserve">4</w:t>
      </w:r>
      <w:r w:rsidR="00000000" w:rsidRPr="00000000" w:rsidDel="00000000">
        <w:rPr>
          <w:rtl w:val="0"/>
        </w:rPr>
        <w:t xml:space="preserve"> punktā minēto atkāpi, netiek marķētas ar CE atbilstības marķējumu.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318.</w:t>
      </w:r>
      <w:r w:rsidR="00000000" w:rsidRPr="00000000" w:rsidDel="00000000">
        <w:rPr>
          <w:vertAlign w:val="superscript"/>
          <w:rtl w:val="0"/>
        </w:rPr>
        <w:t xml:space="preserve">4</w:t>
      </w:r>
      <w:r w:rsidR="00000000" w:rsidRPr="00000000" w:rsidDel="00000000">
        <w:rPr>
          <w:rtl w:val="0"/>
        </w:rPr>
        <w:t xml:space="preserve"> un 318.</w:t>
      </w:r>
      <w:r w:rsidR="00000000" w:rsidRPr="00000000" w:rsidDel="00000000">
        <w:rPr>
          <w:vertAlign w:val="superscript"/>
          <w:rtl w:val="0"/>
        </w:rPr>
        <w:t xml:space="preserve">5</w:t>
      </w:r>
      <w:r w:rsidR="00000000" w:rsidRPr="00000000" w:rsidDel="00000000">
        <w:rPr>
          <w:rtl w:val="0"/>
        </w:rPr>
        <w:t xml:space="preserve"> punktu, ir tiesīga mašīnai veikt visas korektīvās un ierobežojošās darbības, kas paredzētas šajos noteikumos un Eiropas Parlamenta un Padomes 2019. gada 20. jūnija Regulā Nr. 2019/1020 par tirgus uzraudzību un produktu atbilstību un ar ko groza Direktīvu 2004/42/EK un Regulas (EK) Nr. 765/2008 un (ES) Nr. 305/2011.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12</w:t>
      </w:r>
      <w:r w:rsidR="00000000" w:rsidRPr="00000000" w:rsidDel="00000000">
        <w:rPr>
          <w:rtl w:val="0"/>
        </w:rPr>
        <w:t xml:space="preserve"> Šo noteikumu 318.</w:t>
      </w:r>
      <w:r w:rsidR="00000000" w:rsidRPr="00000000" w:rsidDel="00000000">
        <w:rPr>
          <w:vertAlign w:val="superscript"/>
          <w:rtl w:val="0"/>
        </w:rPr>
        <w:t xml:space="preserve">4</w:t>
      </w:r>
      <w:r w:rsidR="00000000" w:rsidRPr="00000000" w:rsidDel="00000000">
        <w:rPr>
          <w:rtl w:val="0"/>
        </w:rPr>
        <w:t xml:space="preserve"> un 318.</w:t>
      </w:r>
      <w:r w:rsidR="00000000" w:rsidRPr="00000000" w:rsidDel="00000000">
        <w:rPr>
          <w:vertAlign w:val="superscript"/>
          <w:rtl w:val="0"/>
        </w:rPr>
        <w:t xml:space="preserve">5</w:t>
      </w:r>
      <w:r w:rsidR="00000000" w:rsidRPr="00000000" w:rsidDel="00000000">
        <w:rPr>
          <w:rtl w:val="0"/>
        </w:rPr>
        <w:t xml:space="preserve"> punktā minētās atļaujas piešķiršanas procedūra neietekmē šo noteikumu 3. nodaļā minēto attiecīgo atbilstības novērtēšanas procedūru piemērošanu.";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3</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vertAlign w:val="superscript"/>
          <w:rtl w:val="0"/>
        </w:rPr>
        <w:t xml:space="preserve">3</w:t>
      </w:r>
      <w:r w:rsidR="00000000" w:rsidRPr="00000000" w:rsidDel="00000000">
        <w:rPr>
          <w:b w:val="1"/>
          <w:rtl w:val="0"/>
        </w:rPr>
        <w:t xml:space="preserve"> Atbilstības prezumpcija un tirgus uzraudzība mašīnām, kas atzītas par krīzē būtiskām precēm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13</w:t>
      </w:r>
      <w:r w:rsidR="00000000" w:rsidRPr="00000000" w:rsidDel="00000000">
        <w:rPr>
          <w:rtl w:val="0"/>
        </w:rPr>
        <w:t xml:space="preserve"> Mašīnas, ko Eiropas Komisija īstenošanas aktos atzinusi par krīzē būtiskām precēm, norādot piemērojamos standartus vai kopējas specifikācijas, atbilst šo noteikumu būtiskajām veselības aizsardzības un drošuma prasībām, uz kurām attiecas šie standarti, kopējās specifikācijas vai to daļas. Nākamajā dienā pēc iekšējā tirgus ārkārtas situācijas izbeigšanās ražotājiem vairs nav tiesību paļauties uz atbilstības prezumpciju, ko nodrošina Eiropas Komisijas īstenošanas aktos norādītie standarti vai kopējās specifikācijas.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14</w:t>
      </w:r>
      <w:r w:rsidR="00000000" w:rsidRPr="00000000" w:rsidDel="00000000">
        <w:rPr>
          <w:rtl w:val="0"/>
        </w:rPr>
        <w:t xml:space="preserve"> Ja vien nav pietiekama iemesla uzskatīt, ka mašīnas, uz kurām attiecas un kuras atbilst šo noteikumu 318.</w:t>
      </w:r>
      <w:r w:rsidR="00000000" w:rsidRPr="00000000" w:rsidDel="00000000">
        <w:rPr>
          <w:vertAlign w:val="superscript"/>
          <w:rtl w:val="0"/>
        </w:rPr>
        <w:t xml:space="preserve">13</w:t>
      </w:r>
      <w:r w:rsidR="00000000" w:rsidRPr="00000000" w:rsidDel="00000000">
        <w:rPr>
          <w:rtl w:val="0"/>
        </w:rPr>
        <w:t xml:space="preserve"> punktā minētajiem standartiem vai kopējām specifikācijām, rada risku cilvēku veselībai vai drošībai, tās atzīst par atbilstošām šo noteikumu būtiskajām veselības aizsardzības un drošuma prasībām pēc iekšējā tirgus ārkārtas situācijas režīma izbeigšanās un deaktivizēšanas.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15</w:t>
      </w:r>
      <w:r w:rsidR="00000000" w:rsidRPr="00000000" w:rsidDel="00000000">
        <w:rPr>
          <w:rtl w:val="0"/>
        </w:rPr>
        <w:t xml:space="preserve"> Tirgus uzraudzības iestādes prioritāri uzrauga mašīnas, kas atzītas par krīzē būtisku preci.";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2024. gada 9. oktobra Direktīvas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30.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26-TA-334</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26-TA-334</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noteikumu_(grozījumu)_projekts_26-TA-334.docx</dc:title>
</cp:coreProperties>
</file>

<file path=docProps/custom.xml><?xml version="1.0" encoding="utf-8"?>
<Properties xmlns="http://schemas.openxmlformats.org/officeDocument/2006/custom-properties" xmlns:vt="http://schemas.openxmlformats.org/officeDocument/2006/docPropsVTypes"/>
</file>