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21. oktobra noteikumos Nr. 876 "Siltumenerģijas piegādes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46. panta pirmo daļu un 46.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22. panta piekto daļu, </w:t>
      </w:r>
      <w:r w:rsidR="00000000" w:rsidRPr="00000000" w:rsidDel="00000000">
        <w:rPr>
          <w:rStyle w:val="paragraph"/>
          <w:i w:val="1"/>
          <w:rtl w:val="0"/>
        </w:rPr>
        <w:t xml:space="preserve">Energoresursu cenu ārkārtēja pieauguma samazinājuma pasākumu likuma</w:t>
      </w:r>
      <w:r w:rsidR="00000000" w:rsidRPr="00000000" w:rsidDel="00000000">
        <w:rPr>
          <w:rStyle w:val="paragraph"/>
          <w:i w:val="1"/>
          <w:rtl w:val="0"/>
        </w:rPr>
        <w:t xml:space="preserve"> 7. panta sesto daļu un </w:t>
      </w:r>
      <w:r w:rsidR="00000000" w:rsidRPr="00000000" w:rsidDel="00000000">
        <w:rPr>
          <w:rStyle w:val="paragraph"/>
          <w:i w:val="1"/>
          <w:rtl w:val="0"/>
        </w:rPr>
        <w:t xml:space="preserve">Energoefektivitātes likuma</w:t>
      </w:r>
      <w:r w:rsidR="00000000" w:rsidRPr="00000000" w:rsidDel="00000000">
        <w:rPr>
          <w:rStyle w:val="paragraph"/>
          <w:i w:val="1"/>
          <w:rtl w:val="0"/>
        </w:rPr>
        <w:t xml:space="preserve"> 16.panta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2008. gada 21. oktobra noteikumos Nr. 876 "Siltumenerģijas piegādes un lietošanas noteikumi" (Latvijas Vēstnesis, 2008, 168. nr.; 2015, 219. nr.; 2022, 25., 185.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Enerģētikas likuma 46. panta pirmo daļu un 46.</w:t>
      </w:r>
      <w:r w:rsidR="00000000" w:rsidRPr="00000000" w:rsidDel="00000000">
        <w:rPr>
          <w:vertAlign w:val="superscript"/>
          <w:rtl w:val="0"/>
        </w:rPr>
        <w:t xml:space="preserve">1</w:t>
      </w:r>
      <w:r w:rsidR="00000000" w:rsidRPr="00000000" w:rsidDel="00000000">
        <w:rPr>
          <w:rtl w:val="0"/>
        </w:rPr>
        <w:t xml:space="preserve"> panta trešo daļu, likuma "Par sabiedrisko pakalpojumu regulatoriem" 22. panta piekto daļu, Energoresursu cenu ārkārtēja pieauguma samazinājuma pasākumu likuma 7. panta sesto daļu un Energoefektivitātes likuma 16.panta pirmo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ēkas īpašnieks, dzīvokļu īpašnieku kopība vai tās pilnvarota persona, kura darbojas visu dzīvojamās mājas īpašnieku vārdā."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Siltuma maksas sadalītāju uzstādīšanas, lietošanas, siltuma izmaksu sadales aprēķināšanas un pārbaudes atbilstību attiecīgajām prasībām nodrošina saskaņā ar standartu LVS EN 834+AC:2021 "Siltumenerģijas patēriņa noteicēji dzīvokļa apsildes radiatoriem. Ierīces ar elektroenerģijas avotu"."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jaunu individuālo siltumenerģijas skaitītāju vai siltuma maksas sadalītāju uzstādīšanas vai to maiņas gadījumā nodrošina, ka turpmāk uzstādāmo siltumenerģijas skaitītāju vai siltuma maksas sadalītāju rādījumi ir nolasāmi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7</w:t>
      </w:r>
      <w:r w:rsidR="00000000" w:rsidRPr="00000000" w:rsidDel="00000000">
        <w:rPr>
          <w:rtl w:val="0"/>
        </w:rPr>
        <w:t xml:space="preserve"> Ēkas īpašnieks, dzīvokļu īpašnieku kopība vai tās pilnvarota persona, kura darbojas visu dzīvojamās mājas īpašnieku vārdā, nodrošina, ka no 2027. gada 1. janvāra visu individuālo siltumenerģijas skaitītāju un siltuma maksas sadalītāju rādījumi ir nolasāmi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8</w:t>
      </w:r>
      <w:r w:rsidR="00000000" w:rsidRPr="00000000" w:rsidDel="00000000">
        <w:rPr>
          <w:rtl w:val="0"/>
        </w:rPr>
        <w:t xml:space="preserve"> Piegādātājs (ja piegādātājs un lietotājs nav vienojušies citādi) nodrošina, ka jaunu piegādātāja siltumenerģijas skaitītāju uzstādīšanas vai to maiņas gadījumā uzstādāmo siltumenerģijas skaitītāju rādījumi ir nolasāmi attālināti, bet no 2027. gada 1. janvāra visu piegādātāja siltumenerģijas skaitītāju rādījumi ir nolasāmi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Piegādātāja vainas dēļ lietotājam nepiegādātās siltumenerģijas daudzumu aprēķina pa diennaktīm kā starpību starp vidējo diennakts patēriņu trijās dienās, pēc tam, kad atjaunota siltumapgāde līgumā noteiktajā apjomā, un faktisko diennakts patēriņu. Aprēķinot nepiegādātās siltumenerģijas daudzumu apkurei un ventilācijai, ņem vērā vidējo diennakts āra gaisa temperatūru un lieto koeficientu saskaņā ar šo noteikumu 35.punktu."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 novērsti šo noteikumu 26.punktā minētie pārkāpumi;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pilnvarota persona, kura darbojas visu daudzdzīvokļu dzīvojamās mājas īpašnieku vārdā, par iepriekšējiem 12 kalendāriem mēnešiem ir veicis samaksu par piegādāto siltumenerģiju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3. reizi gadā līdz 1.novembrim, tīmekļvietnes adresi, kurā atrodams faktiskā siltumenerģijas patēriņa salīdzinājums grafiskā veidā ar patēriņu tajā pašā laikposmā iepriekšējā gadā, ņemot vērā ārgaisa temperatūras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36.</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4. informācija saziņai ar lietotāju organizācijām, enerģētikas aģentūrām vai citām organizācijām, tostarp tīmekļvietņu adreses, kur var iegūt informāciju par energoefektivitātes uzlabošanas pasākumiem, efektīvām enerģiju patērējošām iekārtām, līdzīgu lietotāju patēriņu un līdzīgas lietotāju grupas vidējo normalizēto siltumenerģijas patēriņu. Šo informāciju piegādātājs iekļauj arī savā tīmekļvietnē, kas paredzēta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Informāciju par siltumnīcefekta gāzu emisiju apjomu sniedz piegādātājs, pie kura centralizētās siltumapgādes sistēmas ir pieslēgti siltumavoti ar kopējo nominālo siltumenerģijas jaudu, kas ir lielāka par  20 megavatiem;".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6. par tiesībām apstrīdēt rēķinus."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Pēc piegādātāja pieprasījuma siltumenerģijas ražotājs, kura siltumavoti ir pieslēgti pie piegādātāja centralizētās siltumapgādes sistēmas, sniedz piegādātājam šo noteikumu 36.</w:t>
      </w:r>
      <w:r w:rsidR="00000000" w:rsidRPr="00000000" w:rsidDel="00000000">
        <w:rPr>
          <w:vertAlign w:val="superscript"/>
          <w:rtl w:val="0"/>
        </w:rPr>
        <w:t xml:space="preserve">1</w:t>
      </w:r>
      <w:r w:rsidR="00000000" w:rsidRPr="00000000" w:rsidDel="00000000">
        <w:rPr>
          <w:rtl w:val="0"/>
        </w:rPr>
        <w:t xml:space="preserve">5. 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Piegādātājs nodrošina, lai lietotājiem tiktu piedāvāta iespēja rēķinus un rēķinu informāciju saņemt elektroniskā formātā, nodrošinot lietotāju privātuma un datu aizsardzību saskaņā ar fizisko personu datu aizsardzības normatīvajiem aktiem. Rēķinus elektroniskā formātā un informāciju par patēriņu elektroniskā formātā lietotāji saņem bez maksas. Tiešo norēķinu gadījumā piegādātājs iekļauj rēķinā pamatotas rēķina sagatavošanas izmaksas, ievērojot bezpeļņas principu."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Ēkas īpašnieks, daudzdzīvokļu ēkas dzīvokļu īpašnieku kopība vai tās pilnvarotā persona, kura darbojas visu dzīvojamās mājas īpašnieku vārdā, sadala piegādātāja izrakstītajā rēķinā noteikto maksājumu par patērēto siltumenerģiju starp dzīvokļa īpašniekiem, mākslinieku darbnīcas un nedzīvojamo telpu īpašniekiem, nodrošinot: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 maksājuma par patērēto siltumenerģiju sadalīšanu, pamatojoties uz normatīvajos aktos par dzīvojamo māju pārvaldīšanu noteiktajām siltumenerģijas aprēķinu metodikām un ņemot vērā faktisko patēriņu, ja  ir uzstādīti individuālie siltumenerģijas skaitītāji vai siltuma maksas sadalītāji;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2. piegādātāja sniegtās informācijas iekļaušanu rēķinā atbilstoši patērētājam siltumenerģijas apjomam;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3. iespēju saņemt rēķinus un rēķinu informāciju elektroniskā formātā, nodrošinot datu aizsardzību saskaņā ar fizisko personu datu aizsardzības normatīvajiem aktiem;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4. pamatotu rēķina sagatavošanas izmaksu iekļaušanu rēķinā, ievērojot bezpeļņas principu;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5. siltumenerģijas patēriņa, siltuma maksas sadalītāju rādījumu un izrakstīto rēķinu informācijas nodošanu piegādātājam pēc dzīvokļa īpašnieka, mākslinieku darbnīcas un nedzīvojamo telpu īpašnieka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informatīvās atsauces uz Eiropas Savienības direktīvām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2012. gada 25. oktobra Direktīvas 2012/27/ES par energoefektivitāti, ar ko groza Direktīvas 2009/125/EK un 2010/30/ES un atceļ Direktīvas 2004/8/EK un 2006/32/EK;</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2018. gada 11. decembra Direktīvas 2018/2002, ar ko groza Direktīvu 2012/27/ES par energoefektivitāti."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22-TA-871</w:t>
    </w:r>
    <w:r>
      <w:br/>
    </w:r>
    <w:r w:rsidR="00000000" w:rsidRPr="00000000" w:rsidDel="00000000">
      <w:rPr>
        <w:rtl w:val="0"/>
      </w:rPr>
      <w:t xml:space="preserve">Izdrukāts 30.07.2026. 00.02 - 6.0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22-TA-871</w:t>
    </w:r>
    <w:r>
      <w:br/>
    </w:r>
    <w:r w:rsidR="00000000" w:rsidRPr="00000000" w:rsidDel="00000000">
      <w:rPr>
        <w:rtl w:val="0"/>
      </w:rPr>
      <w:t xml:space="preserve">Izdrukāts 30.07.2026. 00.02 - 6.0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noteikumu_(grozījumu)_projekts_22-TA-871.docx</dc:title>
</cp:coreProperties>
</file>

<file path=docProps/custom.xml><?xml version="1.0" encoding="utf-8"?>
<Properties xmlns="http://schemas.openxmlformats.org/officeDocument/2006/custom-properties" xmlns:vt="http://schemas.openxmlformats.org/officeDocument/2006/docPropsVTypes"/>
</file>