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19.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254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Finansējuma saņēmēji un finansējuma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1254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6"/>
        <w:gridCol w:w="3782"/>
        <w:gridCol w:w="7880"/>
        <w:gridCol w:w="7880"/>
        <w:gridCol w:w="7880"/>
        <w:gridCol w:w="7880"/>
        <w:tblGridChange w:id="0">
          <w:tblGrid>
            <w:gridCol w:w="426"/>
            <w:gridCol w:w="3782"/>
            <w:gridCol w:w="7880"/>
            <w:gridCol w:w="7880"/>
            <w:gridCol w:w="7880"/>
            <w:gridCol w:w="788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Investīcijai pieejamais attiecināmais finansējums sadalījumā pa finansējuma avotiem (EUR)</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Atveseļošanas un noturības mehānisma plāna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valsts budžeta finansējums PVN segšanai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 4 + 6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4 x 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Pirmās kārtas finansējuma saņēmēji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39 667 568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32 783 114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6 884 454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6 884 454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35 982 552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29 766 050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6 216 502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6 216 502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40 971 083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33 860 399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7 110 684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7 110 684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3 589 856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2 966 823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623 033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623 033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"Ziemeļkurzemes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4 711 486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3 893 790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817 696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817 696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"Vidzemes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7 063 139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5 837 305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1 225 834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1 225 834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"Daugavpils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11 592 290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9 580 405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2 011 885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2 011 885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7 963 226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6 581 179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1 382 047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1 382 047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"Jēkabpils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3 643 000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3 010 744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632 256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pilsētas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4 818 894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3 982 557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836 337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836 337</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Otrās kārtas finansējuma saņēmēji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"Traumatoloģijas un ortopēdijas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3 281 235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2 711 765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569 470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569 470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psihiskās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494 089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103 759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1 969 546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1 627 724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341 822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341 822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"Piejūras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917 672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758 407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159 265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159 265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psihoneiroloģiskā slimnīca "Ainaži""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1 197 900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207 900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Trešās kārtas finansējuma saņēmējs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15 242 922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12 597 455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2 645 467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2 645 467</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183 561 118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151 731 807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31 829 311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31 829 311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Atveseļošanas un noturības mehānisma plāna (turpmāk – Atveseļošanas fonds) projektos ietaupītais finansējums, kas tiek novirzīts SIA "Rīgas Austrumu klīniskā universitātes slimnīca" projekta Nr. 4.1.1.2.i.0/3/26/I/CFLA/001 "SIA "Rīgas Austrumu klīniskā universitātes slimnīca" infekciju slimību un plaušu veselības korpusa būvniecība (2. posms)" īstenošanai līdz 2026. gada 31. decembrim (minētā finansējuma apguve nav saistīta ar Atveseļošanas fonda mērķu vai atskaites punktu sasniegšanu)."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26-TA-1170</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26-TA-1170</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noteikumu_(grozījumu)_projekts_p_26-TA-1170.docx</dc:title>
</cp:coreProperties>
</file>

<file path=docProps/custom.xml><?xml version="1.0" encoding="utf-8"?>
<Properties xmlns="http://schemas.openxmlformats.org/officeDocument/2006/custom-properties" xmlns:vt="http://schemas.openxmlformats.org/officeDocument/2006/docPropsVTypes"/>
</file>