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maijā (prot. Nr. 19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zemes vienību piekritību valstij un to nostiprināšanu zemesgrāmatā uz valsts vārda Zemkopības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piekto daļu un pārejas noteikumu 11. punktu, likuma "Par valsts un pašvaldību zemes īpašuma tiesībām un to nostiprināšanu zemesgrāmatās" 2. panta pirmo daļu un 8. panta ceturto daļu un Meža likuma 44. panta pirmo un otro daļu saglabāt valsts īpašumā un nodot Zemkopības ministrijas valdījumā šādas zemes vienības, kas nepieciešamas valsts meža zemes pārvaldīšanai, apsaimniekošanai un aizsardzībai: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vienību (zemes vienības kadastra apzīmējums 8017 004 0009) 3,5341 ha platībā Vangažos, Ropažu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vienību (zemes vienības kadastra apzīmējums 8017 004 0604) 3,5161 ha platībā Vangažos, Ropažu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kadastrālās uzmērīšanas platība var tikt precizēta.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normatīvajos aktos noteiktajā kārtībā nostiprināt zemesgrāmatā uz valsts vārda Zemkopības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25-TA-665</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25-TA-665</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rīkojuma_projekts_25-TA-665.docx</dc:title>
</cp:coreProperties>
</file>

<file path=docProps/custom.xml><?xml version="1.0" encoding="utf-8"?>
<Properties xmlns="http://schemas.openxmlformats.org/officeDocument/2006/custom-properties" xmlns:vt="http://schemas.openxmlformats.org/officeDocument/2006/docPropsVTypes"/>
</file>