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Augstskolu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Augstskolu likumā (Latvijas Republikas Saeimas un Ministru Kabineta Ziņotājs, 1996, 1. nr.; 1997, 3. nr.; 2001, 1. nr.; 2004, 13. nr.; 2006, 8. nr.; 2007, 6., 11. nr.; 2008, 15. nr.; 2009, 2., 14. nr.; Latvijas Vēstnesis, 2009, 194. nr.; 2010, 38., 206. nr.; 2011, 117., 202. nr.; 2012, 190. nr.; 2013, 40., 92., 188. nr.; 2014, 214., 257. nr.; 2016, 108., 125., 241. nr.; 2017, 90., 236. nr.; 2018, 36., 132., 216. nr.; 2019, 240. nr.; 2020, 80.B, 208., 223. nr.; 2021, 79.A, 110., 118., 121.B, 221.A nr.; 2022, 69., 111.A, 144., 187. nr.; 2023, 30.A, 123., 241., 247. nr.; 2024, 62., 120.A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46. pantu ar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Ministru kabinets uzņemšanai pilna un nepilna laika bakalaura un profesionālās augstākās izglītības programmās (profesionālajās studiju programmās), kurās uzņemšanas prasība ir iepriekš iegūta vidējā izglītība, var noteikt papildu uzņemšanas prasības un konkursa atlases kritērijus, kā arī augstākās izglītības programmas, uz kurām papildu uzņemšanas prasības un konkursa atlases kritēriji attiecas.”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56. panta 1.</w:t>
      </w:r>
      <w:r w:rsidR="00000000" w:rsidRPr="00000000" w:rsidDel="00000000">
        <w:rPr>
          <w:vertAlign w:val="superscript"/>
          <w:rtl w:val="0"/>
        </w:rPr>
        <w:t xml:space="preserve">1</w:t>
      </w:r>
      <w:r w:rsidR="00000000" w:rsidRPr="00000000" w:rsidDel="00000000">
        <w:rPr>
          <w:rtl w:val="0"/>
        </w:rPr>
        <w:t xml:space="preserve"> daļas pirmajā teikumā vārdus “pirmā un otrā cikla” ar vārdiem “pirmā, otrā un trešā cikla”.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24-TA-1542</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24-TA-1542</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likumprojekts_(grozījumi)_24-TA-1542.docx</dc:title>
</cp:coreProperties>
</file>

<file path=docProps/custom.xml><?xml version="1.0" encoding="utf-8"?>
<Properties xmlns="http://schemas.openxmlformats.org/officeDocument/2006/custom-properties" xmlns:vt="http://schemas.openxmlformats.org/officeDocument/2006/docPropsVTypes"/>
</file>