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 politikas mērķa "Sociālāka un iekļaujošāka Eiropa, īstenojot Eiropas sociālo tiesību pīlāru"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(turpmāk – pasākums) trešo projektu iesniegumu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kārtai pieejamo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mērķis ir sniegt atbalstu pašvaldībām, kurās ir noteikta pierobeža saskaņā ar normatīvajiem aktiem par Latvijas Republikas valsts robežas joslu, patrulēšanas joslu, pierobežas joslu un pierobežu, kā arī pierobežas, pierobežas joslas, valsts robežas joslas un patrulēšanas joslas norāžu paraugiem un to uzstādīšanas kārtību, lai tās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kārtas mērķa grupa ir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pašvaldības un to dibinātās vispārējās pamatizglītības un vispārējās vidējās izglītības iestādes (turpmāk – vispārējās izglītības iestādes), kā arī minēto izglītības iestāžu pedagogi un izglītojamie.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kārtas ietvaros līdz 2029. gada 30. septembrim sasniedzams nacionālais rādītājs – izglītības iestādes, kurās modernizēta mācību vide, – ne mazāk kā 7.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trešajai kārtai plānotais un pieejamais finansējums ir 5 314 400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4 517 240 </w:t>
      </w:r>
      <w:r w:rsidR="00000000" w:rsidRPr="00000000" w:rsidDel="00000000">
        <w:rPr>
          <w:i w:val="1"/>
          <w:rtl w:val="0"/>
        </w:rPr>
        <w:t xml:space="preserve">euro </w:t>
      </w:r>
      <w:r w:rsidR="00000000" w:rsidRPr="00000000" w:rsidDel="00000000">
        <w:rPr>
          <w:rtl w:val="0"/>
        </w:rPr>
        <w:t xml:space="preserve">un pašvaldību budžeta līdzfinansējums – ne mazāks kā 797 160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finansējums projektā nepārsniedz 85 % no projekta kopējām attiecināmajām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Pašvaldību budžeta līdzfinansējums ir ne mazāks kā 15 % no projekta kopējām attiecināmajām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Reģionālās attīstības fonda finansējumu pasākuma trešās kārtas ietvaros piešķir granta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trešo kārtu īsteno ierobežotas projektu iesniegumu atlases veidā. Projektu iesniegumu atlasē piemēro tikai vienotos kritērijus un vienotos izvēles kritērijus.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trešās kārtas ietvaros atbildīgās iestādes funkcijas pilda Izglītības un zinātnes ministrija.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iesniedzēji ir Alūksnes novada pašvaldība, Augšdaugavas novada pašvaldība, Balvu novada pašvaldība, Krāslavas novada pašvaldība, Ludzas novada pašvaldība, Preiļu novada pašvaldība un Rēzeknes novada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iesniedzējiem pieejamais Eiropas Reģionālās attīstības fonda finansējums ir šāds: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novada pašvaldībai – 487 862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pašvaldībai – 772 448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Balvu novada pašvaldībai – 668 552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Krāslavas novada pašvaldībai – 564 655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pašvaldībai – 655 000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Preiļu novada pašvaldībai – 551 103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pašvaldībai – 817 620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iesniedz sadarbības iestādē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Viena projekta iesnieguma minimālais kopējo attiecināmo izmaksu apmērs ir ne mazāks kā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trešās kārtas ietvaros tiek apstiprināts projekta iesniegums, kas cita starpā atbilst arī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plānotās darbības atbilst projekta iesniedzēja pašvaldības attīstības programmas investīciju plānam un ir pamatotas pašvaldības attīstības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iesniegumam ir vismaz šāda gatavības pakāpe: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uzsākta iepirkuma procedūra par vismaz vienas projekta būves projektēšanas darbiem vai par apvienotu projektēšanu un būvdarbiem par vismaz vienu projekta būvi un ir iesniegts iepērkamā aprīkojuma saraksts ar veiktu aprīkojuma iegādes izmaksu aprēķinu, ja aprīkojuma iegāde ir ieplānota;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iesniegta būvvaldes izziņa, kas apliecina, ka projekta būvdarbiem būvatļauja, paskaidrojuma raksts vai apliecinājuma karte nav nepieciešama (ja attiecināms), un ir iesniegts iepērkamā aprīkojuma saraksts ar veiktu aprīkojuma iegādes izmaksu aprēķinu, ja aprīkojuma iegāde ir ieplānota;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izsludināta iepirkuma procedūra par projekta ietvaros iegādājamo aprīkojumu (ja projekta ietvaros nav paredzēta būvdarbu veikšana);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investīcijas paredz vispārējās izglītības iestādē, kas atrodas administratīvi teritoriālā iedalījuma vienībā, kurā ir noteikta pierobeža saskaņā ar normatīvajiem aktiem par Latvijas Republikas valsts robežas joslu, patrulēšanas joslu, pierobežas joslu un pierobežu, kā arī pierobežas, pierobežas joslas, valsts robežas joslas un patrulēšanas joslas norāžu paraugiem un to uzstādīšanas kārtību. Investīcijas neparedz vispārējās izglītības iestādē, kas atrodas administratīvās teritorijas administratīvajā centrā;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Valsts izglītības informācijas sistēmas datiem uz 2025. gada 1. septembri pašvaldības dibinātā vispārējās izglītības iestāde, kas tiek izvirzīta atbalstam, nodrošina vismaz šādu izglītojamo skaitu katrā klašu grupā (ja uz attiecīgo izglītības iestādi nav attiecināms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minētais nosacījums):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klašu grupā – 15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4.–6. klašu grupā – 15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7.–9. klašu grupā – 15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10.–12. klašu grupā – 45 izglītojamie (izņemot Aglonas vidusskolu, Dagdas vidusskolu, Kārsavas vidusskolu, Kaunatas vidusskolu, Viļakas vidusskolu un Zilupes vidusskolu, – tās nodrošina vismaz 30 izglītojamos);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iesniegumā ir plānotas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minētās izmaksas vai projekta iesniegumā ir sniegts pamatojums, ka atbalstam izvirzītajā izglītības iestādē nav lietderīgi veikt jaunas investīcijas pilnveidotā vispārējās izglītības satura kvalitatīvai ieviešanai.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minētais nosacījums nav attiecināms uz atbalstam izvirzītajām izglītības iestādēm, uz kurām attiecināms kāds no šādiem nosacījumiem (ja projekta iesniegumam pievienots attiecīgs pierādījumos balstīts apliecinājums):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iespējams izpildīt prasības, kuras attiecībā uz minimālo platību viena izglītojamā vietai noteiktas normatīvajos aktos par higiēnas prasībām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uzsākta izglītības iestādes reorganizācija ar pakāpenisku izglītības pakāpes maiņu;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speciālās izglītības programmas speciālās izglītības klasēs vai iekļaujot vispārizglītojošās klasēs izglītojamos ar speciālās izglītības programmām vismaz 50 % apmērā no maksimāli pieļaujamā attiecīgo izglītojamo skaita;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pieņemtajā domes lēmumā par vispārējās izglītības iestāžu tīkla optimizēšanu konkrētajai izglītības iestādei ir noteikts pārejas periods, paredzot risinājumu, kā vispārējās izglītības iestādes atbilstība šo noteikumu </w:t>
      </w:r>
      <w:r w:rsidR="00000000" w:rsidRPr="00000000" w:rsidDel="00000000">
        <w:rPr>
          <w:rtl w:val="0"/>
        </w:rPr>
        <w:t xml:space="preserve">16.4. </w:t>
      </w:r>
      <w:r w:rsidR="00000000" w:rsidRPr="00000000" w:rsidDel="00000000">
        <w:rPr>
          <w:rtl w:val="0"/>
        </w:rPr>
        <w:t xml:space="preserve">apakšpunktam</w:t>
      </w:r>
      <w:r w:rsidR="00000000" w:rsidRPr="00000000" w:rsidDel="00000000">
        <w:rPr>
          <w:rtl w:val="0"/>
        </w:rPr>
        <w:t xml:space="preserve"> tiks nodrošināta līdz 2027. gada 31. augustam;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ir saņēmusi valsts sabiedrības ar ierobežotu atbildību "Latvijas Valsts ceļi" atzinumu par izglītības iestādes piekļuves ceļu pieejamību, stāvokli, plānotajiem uzlabošanas darbiem vai citiem apstākļiem, ar ko pamato neiespējamību izpildīt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nosacījumu līdz 2027. gada 31. augustam. Vienlaikus pašvaldība sniedz pierādījumos balstītu apliecinājumu par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 nosacījuma izpildi pēc 2027. gada 31. augusta.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projekta iesnieguma apstiprināšanas projekta iesniedzējs kļūst par finansējuma saņēmēju.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trešās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ēkas atjaunošana, tās piebūves būvniecība vai pilna apjoma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dienesta viesnīcas būvniecība, pārbūve vai atjaunošana;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izglītības iestādes sporta infrastruktūras pārbūve vai atjaunošana;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dabaszinātņu (dabaszinību (1.–6. klasei), ķīmijas, bioloģijas, fizikas, dizaina un tehnoloģiju, inženierzinību, ģeogrāfijas) un matemātikas kabinetu (tai skaitā praktisko darbu telpu) pārbūve, atjaunošana, izveide vai pilnveide;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vides uzlabošana un mācību procesa nodrošināšanai paredzētā aprīkojuma iegāde;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risinājumu ieviešana un aprīkojuma iegāde;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teritorijas labiekārtošana, tostarp izglītojamo drošības nodrošināšanai paredzētie risinājumi;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trešās kārtas ietvaros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ēkas piebūves būvniecības izmaksas vai pilna apjoma pārbūves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(klašu, kabinetu, auditoriju, mācību laboratoriju, tai skaitā multifunkcionālu mācību telpu, bibliotēku un lasītavu)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un sanitāro mezglu, evakuācijas kāpņu pārbūves un atjaunošanas izmaksas, ja tiek plānotas šo noteikumu </w:t>
      </w:r>
      <w:r w:rsidR="00000000" w:rsidRPr="00000000" w:rsidDel="00000000">
        <w:rPr>
          <w:rtl w:val="0"/>
        </w:rPr>
        <w:t xml:space="preserve">20.2.1.</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būvprojektā paredzētu iekārtu vai aprīkojuma iegāde un uzstādīšana, kas nepieciešama būves vai tās daļas pieņemšanai ekspluatācijā vai ēkas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izmaksām, un tās nepārsniedz 25 % no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būvdarbu attiecināmajām izmaksām. Ja projekta īstenošanas rezultātā paredzēta visu projektā atbalstāmo vispārējās izglītības iestādes klašu telpu mācību vides uzlabošana, iekšējo inženiertīklu izbūves un pārbūves izmaksas, izņemot vēdināšanas un gaisa kondicionēšanas sistēmu izbūves un pārbūves izmaksas, nepārsniedz 25 % no projekta kopējām attiecināmajām izmaksām;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komunikācijas tehnoloģiju risinājumu ieviešanas izmaksas, tai skaitā bezvadu interneta un interneta pieslēguma izveides izmaksas, mācību procesa nodrošināšanai nepieciešamā aprīkojuma un programmatūras iegādes izmaksas. Plānojot bezvadu interneta un interneta pieslēguma izveides izmaksas, projekta iesniedzējs ņem vērā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projekta ietvaros veiktās priekšizpētes rezultātus. Finansējuma saņēmējs nodrošina izmaksu nepārklāšanos ar 2.3.2.3.i. investīciju "Digitālās plaisas mazināšana sociāli neaizsargātajām grupām un izglītības iestādēs". Datortehnikas iegāde pedagogiem un atbalsta personālam nav attiecināma;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dabaszinātņu (dabaszinību (1.–6. klasei), ķīmijas, bioloģijas, fizikas, dizaina un tehnoloģiju, inženierzinību, ģeogrāfijas) un matemātikas kabinetu (tai skaitā praktisko darbu telpu) izveides vai pilnveides izmaksas, tai skaitā telpu pārbūves un atjaunošanas izmaksas, un šo kabinetu aprīkojuma un inventāra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vispārējās izglītības iestādes dienesta viesnīcas būvniecības, pārbūves un atjaunošanas izmaksas un tās darbības (dzīvojamo un mācību telpu, virtuves, sanitāro mezglu, dušas telpu) nodrošināšanai nepieciešamā aprīkojuma un mēbeļu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vispārējās izglītības iestādes sporta zāles un sporta laukuma, tai skaitā ārtelpu aktivitāšu sporta laukuma un ģērbtuvju pārbūves un atjaunošanas izmaksas, ārtelpu aktivitāšu sporta laukuma aprīkojuma un inventāra izmaksas un mācību priekšmeta "Sports un veselība" nodrošināšanai nepieciešamā aprīkojuma un inventāra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būvprojekta, būvdarbu ieceres dokumentācijas, būvprojekta minimālā sastāvā, paskaidrojuma raksta izstrādes vai aktualizācijas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neatkarīgu būvekspertīžu veikšanas un tehniskās apsekošanas izmaksas, tai skaitā neatkarīgas būvprojekta ekspertīzes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vides un informācijas piekļūstamības ekspertu konsultācijas;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Neparedzētos izdevumus pirms to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minētās izmaksas kopā nepārsniedz 50 %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iesniegumu pamatojošās dokumentācijas sagatavošanas izmaksas, būvuzraudzības, autoruzraudzības, būvprojekta tehniskā projekta vai skiču projekta stadijā izmaksas, energosertifikācijas un energoaudita izmaksas kopā ir attiecināmas līdz 10 %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Izmaksas ir attiecināmas no šo noteikumu spēkā stāšanās dienas, izņemot šo noteikumu </w:t>
      </w:r>
      <w:r w:rsidR="00000000" w:rsidRPr="00000000" w:rsidDel="00000000">
        <w:rPr>
          <w:rtl w:val="0"/>
        </w:rPr>
        <w:t xml:space="preserve">20.10.</w:t>
      </w:r>
      <w:r w:rsidR="00000000" w:rsidRPr="00000000" w:rsidDel="00000000">
        <w:rPr>
          <w:rtl w:val="0"/>
        </w:rPr>
        <w:t xml:space="preserve">,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 </w:t>
      </w:r>
      <w:r w:rsidR="00000000" w:rsidRPr="00000000" w:rsidDel="00000000">
        <w:rPr>
          <w:rtl w:val="0"/>
        </w:rPr>
        <w:t xml:space="preserve">apakšpunktā</w:t>
      </w:r>
      <w:r w:rsidR="00000000" w:rsidRPr="00000000" w:rsidDel="00000000">
        <w:rPr>
          <w:rtl w:val="0"/>
        </w:rPr>
        <w:t xml:space="preserve"> minētās izmaksas, kas ir attiecināmas, ja tās veiktas, sākot ar 2023. gada 1. janvāri. Izmaksas par darbībām, kuras tiek pabeigtas līdz projekta iesnieguma iesniegšanai sadarbības iestādē, nav attiecināmas.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un ar vadošo iestādi saskaņota vienkāršoto izmaksu metodika, kura piemērojama pasākuma trešajā kārtā, tā tiek piemērota pasākuma trešās kārtas projekta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Izmaksas, kas saskaņā ar šiem noteikumiem nav noteiktas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trešās kārtas ietvaros ieguldījumus veic finansējuma saņēmēja īpašumā vai valdījumā esošā valsts īpašumā, uz kuru valdījuma tiesības ir nostiprinātas zemesgrāmatā. Valdījuma tiesībām jābūt nostiprinātām uz termiņu, kas nav mazāks par pieciem gadiem pēc noslēguma maksājuma veikšanas. Informācijas un komunikācijas tehnoloģiju ieguldījumus plāno finansējuma saņēmēja īpašumā esošajos digitālajos risinājumos. Pēc ieguldījumu veikšanas finansējuma saņēmēja īpašumā būs pirmkodi un intelektuālā īpašuma tiesības, tai skaitā risinājuma modificēšanas tiesības, lai novērstu gadījumus, kad tiek kropļota konkurence, veicot publiskus ieguldījumus kāda konkrēta komersanta īpašumā.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projekta īstenošanas laikā un projekta dzīves cikla laikā (10 gadi) atbilstoši Izglītības un zinātnes ministrijas izstrādātajai papildinošas saimnieciskās darbības uzraudzības metodikai nodrošina papildinošas saimnieciskās darbības uzraudzību projekta uzlabotajai infrastruktūrai.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pieļaujama papildinoša saimnieciskā darbība 20 % apmērā no infrastruktūras gada jaudas (platības, laika vai finanšu izteiksmē) un ir pieļaujama papildpakalpojumu sniegšana.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visā projekta dzīves cikla laikā ik gadu sagatavo pārskatus par papildinošās saimnieciskās darbības apjomu un papildpakalpojumiem un nodrošina šajā punktā minēto pārskatu un aprēķinus pamatojošo dokumentu pieejamību papildinošās saimnieciskās darbības un papildpakalpojumu uzraudzībai. Ja finansējuma saņēmējs konstatē, ka ir pārsniegts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minētais 20 % apmērs no infrastruktūras kopējās gada jaudas un (vai) ka minētā infrastruktūra tiek izmantota citai saimnieciskajai darbībai, kas nav uzskatāma par papildinošu saimniecisku darbību, tas, ievērojot saskaņā ar vienošanos par projekta īstenošanu noteikto termiņu, iesniedz sadarbības iestādē ziņojumu par konstatēto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nosacījumu pārkāpumu. Sadarbības iestādei ir tiesības pieprasīt, lai finansējuma saņēmējs iesniedz pārskatus par papildinošo saimniecisko darbību un papildpakalpojumiem projekta dzīves cikla laikā, tai skaitā gadījumos, kad informācija par papildinošās saimnieciskās darbības un papildpakalpojumu nosacījumu pārkāpumu saņemta no finansējuma saņēmēja, kompetentajām iestādēm vai no trešajām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projekta dzīves cikla laikā tiek konstatēts, ka infrastruktūrā, par kuru iesniegts projekta iesniegums, tiek veikta saimnieciskā darbība, kas nav uzskatāma par papildpakalpojumu, vai tiek veikta papildinoša saimnieciskā darbība, kas pārsniedz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apmēru, vai tiek veikta saimnieciskā darbība, kas nav uzskatāma par papildinošu saimniecisko darbību, finansējuma saņēmējs proporcionāli tai gada jaudas daļai (platības, laika vai finanšu izteiksmē), par kuru kopumā ir konstatēts pārkāpums, atmaksā sadarbības iestādei visu nelikumīgi saņemto atbalstu kopā ar procentiem no finansējuma, kura avots nav publiskie līdzekļi,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projekta īstenošanas laikā uzkrāj datus par projekta ietekmi uz vismaz vienu no šādiem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būvētās vides, informācijas un tehnoloģiju un to risinājumu piekļūstamību personām ar dažādiem funkcionēšanas ierobežojumiem;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uzkrāj datus par projekta ietekmi uz tiem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minētajiem horizontālā principa "Vienlīdzība, iekļaušana, nediskriminācija un pamattiesību ievērošana"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projekta īstenošanas, kā arī trīs gadus pēc projekta īstenošanas informē sadarbības iestādi par būves ikgadējo enerģijas patēriņu (megavatstundas);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visas preces un pakalpojumi tiks iepirkti atklātā, pārredzamā, nediskriminējošā un konkurenci nodrošinošā procedūrā, ievērojot publiskā iepirkuma procedūru regulējošos normatīvos aktus, un var piemērot sociāli atbildīgus un inovatīvus publiskos iepirkumus, kā arī sekmē zaļā publiskā iepirkuma prasību ievērošanu saskaņā ar normatīvajiem aktiem par prasībām zaļajam publiskajam iepirkumam un to piemērošanas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ir atbildīgs par dubultā finansējuma novēršanu un demarkācijas nodrošināšanu ar citiem līdzīgiem vai saistītiem projektiem un nodrošina, lai pasākuma trešās kārtas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laikā un projekta dzīves cikla laikā nodrošina visu ar projekta īstenošanu saistīto dokumentu glabāšanu, tai skaitā projekta iesnieguma, jebkuru ar projektu saistīto sarakstes dokumentu, iepirkuma dokumentācijas, vienošanās par projekta īstenošanu, veiktos darbus, piegādes un sniegtos pakalpojumus apliecinošu dokumentu, veiktos maksājumus apliecinošu dokumentu oriģinālu vai to atvasinājumu ar juridisko spēku 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krāpšanas un korupcijas risku neesību;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 tai skaitā nodrošina atbalstu saņēmušās vispārējās izglītības iestādes atbilstību šo noteikumu </w:t>
      </w:r>
      <w:r w:rsidR="00000000" w:rsidRPr="00000000" w:rsidDel="00000000">
        <w:rPr>
          <w:rtl w:val="0"/>
        </w:rPr>
        <w:t xml:space="preserve">16.4. </w:t>
      </w:r>
      <w:r w:rsidR="00000000" w:rsidRPr="00000000" w:rsidDel="00000000">
        <w:rPr>
          <w:rtl w:val="0"/>
        </w:rPr>
        <w:t xml:space="preserve">apakšpunktam</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punktam</w:t>
      </w:r>
      <w:r w:rsidR="00000000" w:rsidRPr="00000000" w:rsidDel="00000000">
        <w:rPr>
          <w:rtl w:val="0"/>
        </w:rPr>
        <w:t xml:space="preserve">. Minētajā ilgtspējas periodā pašvaldība var pieņemt jaunus domes lēmumus vai veikt grozījumus iepriekš pieņemtajos domes lēmumos attiecībā uz atbalstu saņēmušo vispārējās izglītības iestādi, ievērojot nosacījumu par atbalstam izvirzītās vispārējās izglītības iestādes atbilstību.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avansa pieprasījumu, nodrošina finansējuma saņēmējam avansa maksājumus, ievērojot, ka viens avansa maksājums nepārsniedz 30 % un avansa un starpposmu maksājumu kopsumma nepārsniedz 90 % no kopējā projektam piešķirtā Eiropas Reģionālās attīstības fonda finansējuma. Maksājuma pieprasījumu piešķirtā avansa maksājuma apmērā finansējuma saņēmējs iesniedz sadarbības iestādē pēc avansa maksājuma saņemšanas sešu mēnešu laikā saimnieciskā gada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 no būvdarbu vai piegāžu līgumcenas. Finansējuma saņēmējs var veikt avansa maksājumu, ja būvdarbu veicējs vai piegādātājs tam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30. septembrim.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25-TA-1639</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25-TA-1639</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noteikumu_projekts_25-TA-1639.docx</dc:title>
</cp:coreProperties>
</file>

<file path=docProps/custom.xml><?xml version="1.0" encoding="utf-8"?>
<Properties xmlns="http://schemas.openxmlformats.org/officeDocument/2006/custom-properties" xmlns:vt="http://schemas.openxmlformats.org/officeDocument/2006/docPropsVTypes"/>
</file>