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4.3.2. specifiskā atbalsta mērķi "Kultūras un tūrisma lomas palielināšana ekonomiskajā attīstībā, sociālajā iekļaušanā un sociālajās inovācijās"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finansējuma saņēmējiem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saņemšanas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Specifiskais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ietvaros atbildīgās iestādes funkcijas pilda Kultūras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projektu īsteno saskaņā ar vienošanos vai līgumu par projekta īstenošanu, bet ne ilgāk kā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mērķis un sasniedzamie uzraudzības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mērķis ir uz sociālo iekļaušanu orientēta un mērķa grupas vajadzībās balstīta kultūras piedāvājuma veidošana, kas rada pozitīvu ietekmi uz vietējām kopienām, veicina dialogu ar sociāli mazaizsargātām sabiedrības grupām, ar kultūras pakalpojumu starpniecību mazina sociālo nevienlīdzību un stiprina kopienas kultūras identitāti, veicina tūrisma plūsmu palielināšanos un stimulē uzņēmējdarbību, nodarbinātību un jaunu darbavietu radīšanu.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mērķa grupa ir vietējie iedzīvotāji, īpašu uzmanību pievēršot sociāli mazaizsargātām grupām, tai skaitā cilvēkiem ar funkcionāliem traucējumiem, diasporai, mazākumtautību pārstāvjiem un imigrantiem, bērniem un jauniešiem, senioriem un cilvēkiem, kas pakļauti sociāli ekonomiskās atstumtības riskiem.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ietvaros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iznākuma rādītājs: noslēgto līgumu īpatsvars par ieguldījumiem kultūras un tūrisma vietās – 10 procentu;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atbalstīto kultūras un tūrisma objektu skaits – vismaz 11;</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atbalstīto kultūras un tūrisma vietu apmeklētāju skaits – vismaz 16 500.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plānotais kopējais attiecināmais finansējums ir 20 166 038 </w:t>
      </w:r>
      <w:r w:rsidR="00000000" w:rsidRPr="00000000" w:rsidDel="00000000">
        <w:rPr>
          <w:i w:val="1"/>
          <w:rtl w:val="0"/>
        </w:rPr>
        <w:t xml:space="preserve">euro </w:t>
      </w:r>
      <w:r w:rsidR="00000000" w:rsidRPr="00000000" w:rsidDel="00000000">
        <w:rPr>
          <w:rtl w:val="0"/>
        </w:rPr>
        <w:t xml:space="preserve">(no tā elastības finansējums – 5 243 899 </w:t>
      </w:r>
      <w:r w:rsidR="00000000" w:rsidRPr="00000000" w:rsidDel="00000000">
        <w:rPr>
          <w:i w:val="1"/>
          <w:rtl w:val="0"/>
        </w:rPr>
        <w:t xml:space="preserve">euro</w:t>
      </w:r>
      <w:r w:rsidR="00000000" w:rsidRPr="00000000" w:rsidDel="00000000">
        <w:rPr>
          <w:rtl w:val="0"/>
        </w:rPr>
        <w:t xml:space="preserve">), tai skaitā Eiropas Reģionālās attīstības fonda finansējums 17 141 132 </w:t>
      </w:r>
      <w:r w:rsidR="00000000" w:rsidRPr="00000000" w:rsidDel="00000000">
        <w:rPr>
          <w:i w:val="1"/>
          <w:rtl w:val="0"/>
        </w:rPr>
        <w:t xml:space="preserve">euro </w:t>
      </w:r>
      <w:r w:rsidR="00000000" w:rsidRPr="00000000" w:rsidDel="00000000">
        <w:rPr>
          <w:rtl w:val="0"/>
        </w:rPr>
        <w:t xml:space="preserve">(no tā elastības finansējums – 4 457 314 </w:t>
      </w:r>
      <w:r w:rsidR="00000000" w:rsidRPr="00000000" w:rsidDel="00000000">
        <w:rPr>
          <w:i w:val="1"/>
          <w:rtl w:val="0"/>
        </w:rPr>
        <w:t xml:space="preserve">euro</w:t>
      </w:r>
      <w:r w:rsidR="00000000" w:rsidRPr="00000000" w:rsidDel="00000000">
        <w:rPr>
          <w:rtl w:val="0"/>
        </w:rPr>
        <w:t xml:space="preserve">) un nacionālais finansējums (valsts budžeta līdzfinansējums, pašvaldību līdzfinansējums un privātais līdzfinansējums) – ne mazāk kā 3 024 906 </w:t>
      </w:r>
      <w:r w:rsidR="00000000" w:rsidRPr="00000000" w:rsidDel="00000000">
        <w:rPr>
          <w:i w:val="1"/>
          <w:rtl w:val="0"/>
        </w:rPr>
        <w:t xml:space="preserve">euro </w:t>
      </w:r>
      <w:r w:rsidR="00000000" w:rsidRPr="00000000" w:rsidDel="00000000">
        <w:rPr>
          <w:rtl w:val="0"/>
        </w:rPr>
        <w:t xml:space="preserve">(no tā elastības finansējums – 786 585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Specifiskā atbalsta īstenošanai kopējo specifiskajam atbalstam pieejamo finansējumu plāno ne vairāk kā 14 922 139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12 683 818 </w:t>
      </w:r>
      <w:r w:rsidR="00000000" w:rsidRPr="00000000" w:rsidDel="00000000">
        <w:rPr>
          <w:i w:val="1"/>
          <w:rtl w:val="0"/>
        </w:rPr>
        <w:t xml:space="preserve">euro </w:t>
      </w:r>
      <w:r w:rsidR="00000000" w:rsidRPr="00000000" w:rsidDel="00000000">
        <w:rPr>
          <w:rtl w:val="0"/>
        </w:rPr>
        <w:t xml:space="preserve">apmērā un nacionālo finansējumu (valsts budžeta līdzfinansējumu, pašvaldību līdzfinansējumu un privāto līdzfinansējumu) – ne mazāk kā 2 238 321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specifiskajam atbalstam pieejamo kopējo finansējumu līdz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minētajam plānotajam kopējam finansējumam.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iesnieguma minimālais Eiropas Reģionālās attīstības fonda finansējuma apmērs nav mazāks par 170 000 </w:t>
      </w:r>
      <w:r w:rsidR="00000000" w:rsidRPr="00000000" w:rsidDel="00000000">
        <w:rPr>
          <w:i w:val="1"/>
          <w:rtl w:val="0"/>
        </w:rPr>
        <w:t xml:space="preserve">euro </w:t>
      </w:r>
      <w:r w:rsidR="00000000" w:rsidRPr="00000000" w:rsidDel="00000000">
        <w:rPr>
          <w:rtl w:val="0"/>
        </w:rPr>
        <w:t xml:space="preserve">(ieskaitot), un projekta iesnieguma maksimālais Eiropas Reģionālās attīstības fonda finansējuma apmērs ir 850 000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Reģionālās attīstības fonda maksimālā finansējuma likme nepārsniedz 85 procentus no projekta kopējām attiecināmajām izmaksām. Valsts budžeta līdzfinansējums valsts iestādēm, valsts kapitālsabiedrībām un atvasinātām publiskām personām (augstskolām un zinātniskajiem institūtiem) ir 15 procenti no projekta kopējām attiecināmajām izmaksām. Valsts kapitālsabiedrībai valsts budžeta līdzfinansējums ir pieļaujams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Specifiskā atbalsta ietvaros tiek piemērota teritoriālā pieeja, paredzot, ka katrā plānošanas reģionā tiek atbalstīts vismaz viens projekta iesniegums, kas atbilst specifiskā atbalsta īstenošanas nosacījumiem. Projekta iesnieguma īstenošanas reģions tiek noteikts atbilstoši tās infrastruktūras faktiskajai adresei, kurā tiek veikti ieguldījumi. Projekta iesniegumu ranžēšanas nosacījumi tiek noteikti specifiskā atbalsta projekta iesniegumu atlases nolikumā.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minētajām tiešajām attiecināmajām izmaksām un pamatdarbības peļņu no ieguldījuma. Pamatdarbības peļņu atskaita no tiešajām attiecināmajām izmaksām iepriekš saskaņā ar pamatotām prognozēm vai izmanto atgūšanas mehānismu. Finansējuma saņēmējam, kas ekspluatē ēku, kurā īstenotas projekta aktivitātes, ir ļauts projekta pārskata periodā paturēt samērīgu peļņu. Šo noteikumu ietvaros samērīgas peļņas definīcija atbilst regulas Nr. 651/2014 2. panta 142. punktam un pamatdarbības peļņas definīcija atbilst regulas Nr. 651/2014 2. panta 39.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iesniedzējam un sadarbības partnerim projekta ietvaros pieejamo publiskā finansējuma apmēru nosaka,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projektam atbalsta sniegšana specifiskā atbalsta ietvaros nav kvalificējama kā komercdarbības atbalsts, projekta iesniedzējam un sadarbības partnerim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projektam atbalsta sniegšana specifiskā atbalsta ietvaros ir kvalificējama kā komercdarbības atbalsts, valsts iestādei, valsts un pašvaldības kapitālsabiedrībai, pašvaldībai vai tās izveidotai iestādei publiskais finansējums nepārsniedz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 aprēķina finanšu iztrūkumu.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un sadarbības partneris nodrošina projekta līdzfinansējumu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projektam atbalsta sniegšana specifiskā atbalsta ietvaros nav kvalificējama kā komercdarbības atbalsts, projekta iesniedzēja un sadarbības partnera līdzfinansējums nav mazāks par 15 procentiem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projektam atbalsta sniegšana specifiskā atbalsta ietvaros ir kvalificējama kā komercdarbības atbalsts, projekta iesniedzēja un sadarbības partnera privātā līdzfinansējuma apmēru nosaka, ņemot vērā, ka publiskais finansējums nepārsniedz aprēķināto finanšu iztrūkumu. Projekta iesniedzējs līdzfinansējumu nodrošina no tādiem pašu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Specifiskā atbalsta ietvaros projekta iesniedzējs var iesniegt vienu projekta iesniegumu. Ar projekta iesniedzēju, kas iesniedzis projekta iesniegumu specifiskā atbalsta ietvaros, vienlaikus nevar slēgt sadarbības līgumu kā ar sadarbības partneri cita projekta iesnieguma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sadarbības iestādei ir pieejami valsts budžeta līdzekļi, tā, pamatojoties uz finansējuma saņēmēja rakstisku avansa pieprasījumu un izvērtējot plānotā avansa apmēru un tā pamatojumu, pēc vienošanās vai līguma par projekta īstenošanu noslēgšanas var piešķirt avansu finansējuma saņēmējam, kas nav valsts pārvaldes iestāde. Finansējuma saņēmējs – pašvaldība –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finansējuma un valsts budžeta līdzfinansējuma kopsummas, ja tas paredzēts projektā, ievērojot, ka avansu var izmaksāt vairākos maksājumos un avansa un starpposma maksājumu kopsumma atvasinātai publiskai personai, pašvaldībai, pašvaldības iestādei, valsts un pašvaldības kapitālsabiedrībai vai citai privāto tiesību juridiskai personai nepārsniedz 90 procentus, bet biedrībai un nodibinājumam – 95 procentus no projektam piešķirtā Eiropas Reģionālās attīstības fonda un valsts budžeta finansējuma kopsummas.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kurš pēc projekta iesnieguma apstiprināšanas ir finansējuma saņēmējs,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 nodibinājums un cita privāto tiesību juridiska persona, valsts iestāde, atvasināta publiska persona, valsts kapitālsabiedrība vai pašvaldības kapitālsabiedrība, kuras pamatdarbība ir kultūras vai radošajā nozarē;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kas projekta īstenošanai piesaista sadarbības partneri, kura pamatdarbība ir kultūras vai radošajā nozarē, ja pašvaldība nav izveidojusi iestādi, kas darbojas kultūras vai radošajā nozarē.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21.3.</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specifiskā atbalsta ietvaros projekta īstenošanai var piesaistīt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biedrību, nodibinājumu vai citu privāto tiesību juridisku personu, valsts iestādi, atvasinātu publisku personu, valsts kapitālsabiedrību vai pašvaldības kapitālsabiedrību, kuras pamatdarbība ir kultūras vai radošajā nozarē;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iestādi, atvasinātu publisku personu, valsts kapitālsabiedrību vai pašvaldības kapitālsabiedrību, kuras īpašumā, turējumā, lietošanā vai valdījumā atrodas objekts, kurā plānotas investīcijas.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projekta īstenošanai var piesaistīt vienu vai vairākus sadarbības partnerus. 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Īpašuma, turējuma, lietošanas vai valdījuma tiesības attiecībā uz atbalstītajiem objektiem nemaina un ieguldījums paliek Latvijas Republikas teritorijā vismaz piecus gadus pēc noslēguma maksājuma veikšanas finansējuma saņēmējam. Īpašuma, turējuma, lietošanas vai valdījuma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 Ja īpašuma, turējuma, lietošanas vai valdījuma tiesības nav nostiprinātas zemesgrāmatā līdz projekta iesnieguma iesniegšanas dienai, tās nostiprina zemesgrāmatā līdz projekta noslēguma maksājuma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atbalsts ir kvalificējams kā komercdarbības atbalsts, projekta iesniedzējs nedrīkst saņemt finansējumu un sadarbības partneris nevar tikt iesaistīts projekta īstenošanā, ja uz atbalsta piešķiršanas brīdi: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un/vai sadarbības partneris (ja attiecināms) atbilst grūtībās nonākuša komersanta statusam, šo nosacījumu vērtējot uzņēmumu grupas līmenī saskaņā ar regulas Nr. 651/2014 2. panta 18. punkta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pašvaldībā atbilstoši likumam "Par pašvaldību finanšu stabilizēšanu un pašvaldību finansiālās darbības uzraudzību" ir uzsākts finanšu stabilizācijas process.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veic izmaksu un ieguvumu analīzi, ievērojot, ka projekta ekonomiskā ienesīguma norma ir lielāka par sociālo diskonta likmi un projekta ekonomiskā neto pašreizējā vērtība ir lielāka par nulli,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kopējās attiecināmās izmaksas ir vismaz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pretendē uz komercdarbības atbalstu saskaņā ar regulas Nr. 651/2014 53.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vai sadarbības partneris ir apzinājis mērķa grupas vajadzības, un projekta ietvaros paredzēts strādāt ar sociāli mazaizsargātām grupām ar zemu kultūras līdzdalības īpatsvaru, projekta īstenošanā piesaistot ekspertus vai sadarbības partneri, kam ir pieredze sociāli iekļaujoša kultūras satura veidošanā.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iesniegumā plānotie infrastruktūras attīstības darbi ir pamatoti, ja tie nepieciešami, lai īstenotu organizācijas darbības stratēģijā plānotos kultūras pakalpojumus un veicinātu līdztiesību kultūras norišu vides piekļūstamībā.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ietvaros visām paredzētajām būvniecības darbībām sagatavots projektēšanas uzdevums par būvniecības ieceres dokumentu sagatavošanu vai iesniegta būvvaldes izziņa, kas apliecina, ka minētie dokumenti nav nepieciešami, un iesniegta indikatīva būvdarbu izmaksu aplēse (tāme).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iesniedzējam vai sadarbības partnerim, kura pamatdarbība ir kultūras vai radošajā nozarē, uz projekta iesniegšanas dienu ir izstrādāta organizācijas darbības stratēģija, kurā noteikti vidēja termiņa darbības mērķi, kas liecina par sabiedrības ieguvumiem no projektā attīstītajiem pakalpojumiem un paredz veicināt kultūras pakalpojumu piekļūstamību, tostarp attīstot pakalpojumus vismaz vienai sociāli mazaizsargāto iedzīvotāju grupai.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Specifiskais atbalsts tiek īstenots, ievērojot: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Jaunā Eiropas </w:t>
      </w:r>
      <w:r w:rsidR="00000000" w:rsidRPr="00000000" w:rsidDel="00000000">
        <w:rPr>
          <w:i w:val="1"/>
          <w:rtl w:val="0"/>
        </w:rPr>
        <w:t xml:space="preserve">Bauhaus</w:t>
      </w:r>
      <w:r w:rsidR="00000000" w:rsidRPr="00000000" w:rsidDel="00000000">
        <w:rPr>
          <w:rtl w:val="0"/>
        </w:rPr>
        <w:t xml:space="preserve"> principus: estētiku, ilgtspēju un iekļautību, tai skaitā iekļaujot publiskās ārtelpas attīstības risinājumus apkārtējā ainavā un nodrošinot dabā balstīto risinājumu un universālā dizaina principu ievērošanu;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Starptautiskās kultūras pieminekļu un ievērojamu vietu padomes izstrādātos kvalitātes principus Eiropas Savienības finansētiem pārveidojumiem, kas var ietekmēt kultūras mantojumu.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specifiskā atbalsta ietvaros plānotais atbalsts nepārklājas ar citiem valsts un ārvalstu finanšu atbalsta instrumentiem, kā arī nodrošina dubultā finansējuma neiestāšanos;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projektu, nodrošina komunikācijas un vizuālās identitātes prasību ievērošanu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9.2.1.</w:t>
      </w:r>
      <w:r w:rsidR="00000000" w:rsidRPr="00000000" w:rsidDel="00000000">
        <w:rPr>
          <w:rtl w:val="0"/>
        </w:rPr>
        <w:t xml:space="preserve"> apakšpunktā</w:t>
      </w:r>
      <w:r w:rsidR="00000000" w:rsidRPr="00000000" w:rsidDel="00000000">
        <w:rPr>
          <w:rtl w:val="0"/>
        </w:rPr>
        <w:t xml:space="preserve"> minētā iznākuma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9.2.2.</w:t>
      </w:r>
      <w:r w:rsidR="00000000" w:rsidRPr="00000000" w:rsidDel="00000000">
        <w:rPr>
          <w:rtl w:val="0"/>
        </w:rPr>
        <w:t xml:space="preserve"> apakšpunktā</w:t>
      </w:r>
      <w:r w:rsidR="00000000" w:rsidRPr="00000000" w:rsidDel="00000000">
        <w:rPr>
          <w:rtl w:val="0"/>
        </w:rPr>
        <w:t xml:space="preserve"> minētā rezultāta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horizontālā principa rādītāju "Objektu skaits, kuros ir nodrošināta vides un informācijas piekļūstamība" un citiem rādītājiem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33.3.</w:t>
      </w:r>
      <w:r w:rsidR="00000000" w:rsidRPr="00000000" w:rsidDel="00000000">
        <w:rPr>
          <w:rtl w:val="0"/>
        </w:rPr>
        <w:t xml:space="preserve"> apakšpunktā</w:t>
      </w:r>
      <w:r w:rsidR="00000000" w:rsidRPr="00000000" w:rsidDel="00000000">
        <w:rPr>
          <w:rtl w:val="0"/>
        </w:rPr>
        <w:t xml:space="preserve"> minētajiem horizontālo principu rādītājiem;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reglamentējošiem normatīvajiem aktiem, īstenojot atklātu, pārredzamu, nediskriminējošu un konkurenci nodrošinošu konkursa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 ka ir atbalstāms sociāli atbildīgs un inovatīvs iepirkums un vides prasību integrācija preču un pakalpojumu iepirkumos (zaļais publiskais iepirkums);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kā arī ar parakstu apliecina, ka nepastāv interešu konflikts;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projekta ietvaros sasniegto rezultātu ilgtspēju vismaz piecus gadus pēc noslēguma maksājuma veikšanas.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minētā specifiskā atbalsta mērķa un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w:t>
      </w:r>
      <w:r w:rsidR="00000000" w:rsidRPr="00000000" w:rsidDel="00000000">
        <w:rPr>
          <w:rtl w:val="0"/>
        </w:rPr>
        <w:t xml:space="preserve"> minēto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sociālo iekļaušanu orientētu jaunu kultūras pakalpojumu radīšana vai esošo kultūras pakalpojumu pielāgošana sociāli mazaizsargātam iedzīvotāju grupām, tostarp kultūras pakalpojumu saturiskā tvēruma paplašināšana un kultūras pakalpojumu piekļūstamības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mērķa grupas vajadzībās balstīta kultūras piedāvājuma īstenošana, kas veicina dialogu ar sociāli mazaizsargātām sabiedrības grupām;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profesionālo kompetenču pilnveidošana, attīstot prasmes, kas nepieciešamas kvalitatīvu, mērķauditorijas vajadzībās balstītu pakalpojumu sniegšanai;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infrastruktūras attīstīšana un materiālu, aprīkojuma un iekārtu noma un iegāde kultūras piedāvājuma izveides nolūkos;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izmaksas ir attiecināmas no šo noteikumu spēkā stāšanās dienas, ievērojot, ka projektā neiekļauj darbības, kas vienošanās vai līguma par projekta īstenošanu noslēgšanas brīdī ir pabeigtas.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34.</w:t>
      </w:r>
      <w:r w:rsidR="00000000" w:rsidRPr="00000000" w:rsidDel="00000000">
        <w:rPr>
          <w:rtl w:val="0"/>
        </w:rPr>
        <w:t xml:space="preserve"> punktā</w:t>
      </w:r>
      <w:r w:rsidR="00000000" w:rsidRPr="00000000" w:rsidDel="00000000">
        <w:rPr>
          <w:rtl w:val="0"/>
        </w:rPr>
        <w:t xml:space="preserve"> minētās atbalstāmās darbības,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personāla izmaksas, kas tieši saistītas ar projekta īstenošanu un mērķa sasniegšanu un radušās uz darba līguma pamata. Ja personāla iesaiste projektā ir nodrošināta saskaņā ar daļlaika izmaksu attiecināmības principu, attiecināma ir ne mazāka kā 30 procentu noslodze. Ja personāls ir nodarbināts nepilnu darba laiku, izmaksas nosakāmas atbilstoši nepilnā darba laika noslodzei;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kultūrvēsturiskās un arheoloģiskās izpētes un kultūrvēsturiskās inventarizācijas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pakalpojuma tehniskā projekta izstrādes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audita, 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un ieguvumu analīzes izstrādes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ekspertu izmaksas, kas ir tieši saistītas ar investīcijām infrastruktūrā, tai skaitā būvuzraudzības, autoruzraudzības un arheoloģiskās uzraudzības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būvdarbu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būvju un ar tām saistītās infrastruktūras pārbūve, konservācija, atjaunošana vai restaurācija;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ietvaros atjaunoto, konservēto, pārbūvēto vai restaurēto būvju funkcionalitātes nodrošināšanai nepieciešamo inženiertīklu (tai skaitā ūdensvada, sadzīves kanalizācijas, lietusūdens kanalizācijas, elektrības, elektronisko sakaru, siltumapgādes, ventilācijas, klimata kontroles un ugunsdzēsības sistēmas) atjaunošana, pārbūve vai būvniecība;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inženierinfrastruktūras pārbūve vai funkcionāls savienojums, tai skaitā lietusūdens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 kas nepieciešama teritorijas un objektu funkcionalitātes nodrošināšanai;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aprīkošana un pielāgošana pakalpojumu sniegšanai, kas nepieciešama būves vai tās daļas pieņemšanai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pakalpojuma izveides izmaksas, tai skaitā materiālu, aprīkojuma un iekārtu nomas, iegādes un uzstādīšanas izmaksas un informācijas tehnoloģiju risinājumu izstrādes, iegādes, atjaunošanas un modernizēšanas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vietas aprīkojuma iegādes vai nomas izmaksas, tai skaitā aprīkojuma uzturēšanas un remonta izmaksas, finansējuma saņēmēja projekta vadības un īstenošanas personālam jaunu darba vietu radīšanai vai gadījumā, ja esošo darba vietu aprīkojums ir nolietojies un tiek norakstīts, – ne vairāk kā 3000 euro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kultūras pakalpojumu īstenošanu saistītas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iekšzemes komandējumu un darba braucienu izmaksas. Minētās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degvielas izmaksas vieglajam transportlīdzeklim un reģionālās starppilsētu nozīmes un reģionālās vietējas nozīmes sabiedriskā transporta izmaksas. Minētās izmaksas tiek segtas atbilstoši Finanšu ministrijas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transportlīdzekļu nomas un transporta pakalpojumu pirkšanas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ārpakalpojuma izmaksas, tai skaitā ekspertu konsultāciju izmaksas, autoratlīdzības izmaksas, honorāri;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pasākumu īstenošanas izmaksas, tai skaitā materiālu, aprīkojuma un iekārtu nomas, iegādes un uzstādīšanas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kultūras pakalpojumu izrādīšanu saistītas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profesionālo kompetenču pilnveidošanas un pieredzes apmaiņas organizēšanas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saskaņā ar regulas Nr. 2021/1060 47. un 50. pantu un normatīvajiem aktiem par kārtību, kādā Eiropas Savienības fondu vadībā iesaistītās institūcijas nodrošina šo fondu ieviešanu 2021.–2027. gada plānošanas periodā. Ja projektam sniegtais atbalsts ir uzskatāms par komercdarbības atbalstu, publicitātes izmaksas var būt attiecināmas projekta ietvaros, nepiemērojot komercdarbības atbalsta regulējumu;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īstenošanai, kas nepieciešamas, lai nodrošinātu atbilstību vides un informācijas piekļūstamības prasībām, tai skaitā: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zīmju valodas tulku, vieglās valodas tulkošanas, reāllaika transkripcijas un subtitru nodrošināšanas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ekspertu konsultāciju izmaksas par dzimumu līdztiesības, personu ar invaliditāti vienlīdzīgu iespēju, vecuma nediskriminācijas, etniskās un citas piederības pamattiesību jautājumiem.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w:t>
      </w:r>
      <w:r w:rsidR="00000000" w:rsidRPr="00000000" w:rsidDel="00000000">
        <w:rPr>
          <w:rtl w:val="0"/>
        </w:rPr>
        <w:t xml:space="preserve"> un </w:t>
      </w:r>
      <w:r w:rsidR="00000000" w:rsidRPr="00000000" w:rsidDel="00000000">
        <w:rPr>
          <w:rtl w:val="0"/>
        </w:rPr>
        <w:t xml:space="preserve">37.3.</w:t>
      </w:r>
      <w:r w:rsidR="00000000" w:rsidRPr="00000000" w:rsidDel="00000000">
        <w:rPr>
          <w:rtl w:val="0"/>
        </w:rPr>
        <w:t xml:space="preserve"> apakšpunktā</w:t>
      </w:r>
      <w:r w:rsidR="00000000" w:rsidRPr="00000000" w:rsidDel="00000000">
        <w:rPr>
          <w:rtl w:val="0"/>
        </w:rPr>
        <w:t xml:space="preserve"> minētās izmaksas kopā nepārsniedz 10 procentus no projekta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vai līgumu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minētās projekta vadības personāla izmaksu ierobežojumu aprēķina, pie minimālo izmaksu bāzes 34 422 </w:t>
      </w:r>
      <w:r w:rsidR="00000000" w:rsidRPr="00000000" w:rsidDel="00000000">
        <w:rPr>
          <w:i w:val="1"/>
          <w:rtl w:val="0"/>
        </w:rPr>
        <w:t xml:space="preserve">euro </w:t>
      </w:r>
      <w:r w:rsidR="00000000" w:rsidRPr="00000000" w:rsidDel="00000000">
        <w:rPr>
          <w:rtl w:val="0"/>
        </w:rPr>
        <w:t xml:space="preserve">gadā pieskaitot 0,64 procentus no projekta tiešajām attiecināmajām izmaksām, neieskaitot tiešās projekta vadības personāla izmaksas, un summu reizinot ar projekta ilgumu gados. Ja projekts ilgst mazāk par gadu vai nepilnus kalendāra gadus, ierobežojums tiek aprēķināts proporcionāli projekta īstenošanas mēnešu skaitam.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Nr. 2021/1060 64. panta 1. punkta "c" apakšpunktā ietvertajiem nosacījumiem, ja tas nav atgūstams saskaņā ar attiecīgās valsts tiesību aktiem pievienotās vērtības nodokļa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projekta izmaksas ir pieaugušas, finansējuma saņēmējs un sadarbības partneris sedz sadārdzinājumu no saviem līdzekļiem. Ja atbalsta sniegšana specifiskā atbalsta ietvaros ir kvalificējama kā komercdarbības atbalsts, projekta iesniedzējs un sadarbības partneris privāto finansējumu nodrošina no tādiem pašu līdzekļiem, par kuriem nav saņemts nekāds publisks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Komercdarbības atbalsta saņemšanas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Komercdarbības atbalstu šo noteikumu ietvaros sniedz saskaņā ar regulas Nr. 651/2014 53. panta 3. punkta "a" un "b" apakšpunktā noteiktajiem atbalsta veidiem un 4. un 5. punktā noteiktajām attiecināmajām izmaksām.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Projektam netiek piemēroti regulas Nr. 651/2014 53. panta nosacījumi jeb sniegtais atbalsts nav uzskatāms par komercdarbības atbalstu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nav saimnieciska rakstura, jo pašu ieņēmumi atbalstītajā objektā ir 50 procenti vai mazāki par 50 procentiem no kultūras jomas pakalpojumu sniedzēja gada budžeta atbalstītajā objektā;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visiem kultūras jomā sniegto pakalpojumu saņēmējiem vai atbalstītā objekta apmeklētājiem gadā 85 procenti vai vairāk ir Latvijas iedzīvotāji;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īstenotie kultūras pasākumi pārsvarā notiek latviešu valodā;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objekts netiek plaši reklamēts ārpus Latvijas teritorijas, tai skaitā netiek veiktas starptautiskas mārketinga aktivitātes un citas darbības pārrobežu reklāmas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Projekta pārskata periodā finansējuma saņēmējs atbilstoši Kultūras ministrijas izstrādātajai komercdarbības atbalsta piemērošanas metodikai specifiskā atbalsta ietvaros reizi gadā līdz kārtējā gada 1. jūnijam iesniedz sadarbības iestādē informāciju, kas nepieciešama, lai izvērtētu, vai kultūras nozares projekts atbilst šo noteikumu </w:t>
      </w:r>
      <w:r w:rsidR="00000000" w:rsidRPr="00000000" w:rsidDel="00000000">
        <w:rPr>
          <w:rtl w:val="0"/>
        </w:rPr>
        <w:t xml:space="preserve">44.1.</w:t>
      </w:r>
      <w:r w:rsidR="00000000" w:rsidRPr="00000000" w:rsidDel="00000000">
        <w:rPr>
          <w:rtl w:val="0"/>
        </w:rPr>
        <w:t xml:space="preserve"> apakšpunktā</w:t>
      </w:r>
      <w:r w:rsidR="00000000" w:rsidRPr="00000000" w:rsidDel="00000000">
        <w:rPr>
          <w:rtl w:val="0"/>
        </w:rPr>
        <w:t xml:space="preserve"> minētajiem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minētās izmaksas ir attiecināmas atbilstoši regulas Nr. 651/2014 53. panta 4. punktam kā ieguldījumu atbalsta izmaksas, ja tās ir ieguldījumi materiālajos aktīvos, kā noteikts regulas Nr. 651/2014 2. panta 29. punktā, vai nemateriālajos aktīvos, kā noteikts regulas Nr. 651/2014 2. panta 30. punktā, un veido pamatlīdzekļa vērtību, izņemot šo noteikumu </w:t>
      </w:r>
      <w:r w:rsidR="00000000" w:rsidRPr="00000000" w:rsidDel="00000000">
        <w:rPr>
          <w:rtl w:val="0"/>
        </w:rPr>
        <w:t xml:space="preserve">37.8.</w:t>
      </w:r>
      <w:r w:rsidR="00000000" w:rsidRPr="00000000" w:rsidDel="00000000">
        <w:rPr>
          <w:rtl w:val="0"/>
        </w:rPr>
        <w:t xml:space="preserve">, </w:t>
      </w:r>
      <w:r w:rsidR="00000000" w:rsidRPr="00000000" w:rsidDel="00000000">
        <w:rPr>
          <w:rtl w:val="0"/>
        </w:rPr>
        <w:t xml:space="preserve">37.9.</w:t>
      </w:r>
      <w:r w:rsidR="00000000" w:rsidRPr="00000000" w:rsidDel="00000000">
        <w:rPr>
          <w:rtl w:val="0"/>
        </w:rPr>
        <w:t xml:space="preserve">, </w:t>
      </w:r>
      <w:r w:rsidR="00000000" w:rsidRPr="00000000" w:rsidDel="00000000">
        <w:rPr>
          <w:rtl w:val="0"/>
        </w:rPr>
        <w:t xml:space="preserve">37.10.</w:t>
      </w:r>
      <w:r w:rsidR="00000000" w:rsidRPr="00000000" w:rsidDel="00000000">
        <w:rPr>
          <w:rtl w:val="0"/>
        </w:rPr>
        <w:t xml:space="preserve"> un </w:t>
      </w:r>
      <w:r w:rsidR="00000000" w:rsidRPr="00000000" w:rsidDel="00000000">
        <w:rPr>
          <w:rtl w:val="0"/>
        </w:rPr>
        <w:t xml:space="preserve">37.11.</w:t>
      </w:r>
      <w:r w:rsidR="00000000" w:rsidRPr="00000000" w:rsidDel="00000000">
        <w:rPr>
          <w:rtl w:val="0"/>
        </w:rPr>
        <w:t xml:space="preserve"> apakšpunktā</w:t>
      </w:r>
      <w:r w:rsidR="00000000" w:rsidRPr="00000000" w:rsidDel="00000000">
        <w:rPr>
          <w:rtl w:val="0"/>
        </w:rPr>
        <w:t xml:space="preserve"> minētās izmaksas, kuras atbilstoši regulas Nr. 651/2014 53. panta 5. punktam ir attiecināmas kā darbības atbalsta izmaksas.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Komercdarbības atbalstu finansējuma saņēmējam piešķir saskaņā ar regulu Nr. 651/2014, ja ievēroti visi šajā 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regulas Nr. 651/2014 53. panta 2. punkta "a", "b", "c", "d" vai "e" apakšpunktā norādītajiem mērķiem un darbībām un ir ievēroti regulas Nr. 651/2014 1. panta 2. punkta "c" un "d" apakšpunktā, 3. punktā un 4. punkta "a" apakšpunktā minētie nosacījumi, pēdējo nosacījumu vērtējot uzņēmumu grupas līmenī;</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komercdarbības atbalstu, kurš tiek sniegts saskaņā ar regulas Nr. 651/2014 53. pantu vienam vai vairākiem 53. panta 2. punkta "a", "b", "c", "d" un "e" apakšpunktā minētajiem mērķiem vai darbībām, papildus ir ievērots nosacījums, ka atbalstu nesniedz regulas Nr. 651/2014 53. panta 10. punktā minētajām nozarēm;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un sadarbības partneris projekta iesniegumam pievienojis apliecinājumu, kas apliecina atbilstību regulas Nr. 651/2014 2. panta 18. punkta "c" apakšpunkta nosacījumiem, šo nosacījumu vērtējot uzņēmumu grupas līmenī;</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ievērots nosacījums, ka vismaz 80 procentu no infrastruktūras gada jaudas laika vai platības izteiksmē izmanto kultūras mērķim, šo nosacījumu piemērojot tikai regulas Nr. 651/2014 53. pantā 2. punkta "a" apakšpunktā minētajām kultūras darbībām.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Lēmumu par atbalsta piešķiršanu saskaņā ar regulu Nr. 651/2014 pieņem līdz regulas Nr. 651/2014 58. panta 4. punktā un 59. pantā noteiktajam termiņam.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Atbalstītajā objektā šo noteikumu </w:t>
      </w:r>
      <w:r w:rsidR="00000000" w:rsidRPr="00000000" w:rsidDel="00000000">
        <w:rPr>
          <w:rtl w:val="0"/>
        </w:rPr>
        <w:t xml:space="preserve">44.1.</w:t>
      </w:r>
      <w:r w:rsidR="00000000" w:rsidRPr="00000000" w:rsidDel="00000000">
        <w:rPr>
          <w:rtl w:val="0"/>
        </w:rPr>
        <w:t xml:space="preserve"> apakšpunktā</w:t>
      </w:r>
      <w:r w:rsidR="00000000" w:rsidRPr="00000000" w:rsidDel="00000000">
        <w:rPr>
          <w:rtl w:val="0"/>
        </w:rPr>
        <w:t xml:space="preserve"> minētajā gadījumā ir pieļaujams veikt papildpakalpojumus, kuri tiek veikti ar saimniecisko darbību nesaistītā infrastruktūrā un kuriem nebūtu ietekmes uz tirdzniecību un konkurenci Eiropas Savienības iekšējā tirgū.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Komercdarbības atbalstu šo noteikumu ietvaros drīkst apvienot ar citu komercdarbības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starpību starp tiešajām attiecināmajām izmaksām un pamatdarbības peļņu no ieguldījuma, kā arī citā valsts atbalsta programmā, </w:t>
      </w:r>
      <w:r w:rsidR="00000000" w:rsidRPr="00000000" w:rsidDel="00000000">
        <w:rPr>
          <w:i w:val="1"/>
          <w:rtl w:val="0"/>
        </w:rPr>
        <w:t xml:space="preserve">ad hoc</w:t>
      </w:r>
      <w:r w:rsidR="00000000" w:rsidRPr="00000000" w:rsidDel="00000000">
        <w:rPr>
          <w:rtl w:val="0"/>
        </w:rPr>
        <w:t xml:space="preserve"> atbalsta projektā vai Eiropas Komisijas lēmumā noteikto maksimālā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Sadarbības iestāde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651/2014 9. panta 1. punkta "c" apakšpunktā un 4. punktā noteikto publicitātes pasākumu izpildi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651/2014 12. panta 1. punktā noteikto nosacījumu izpildi.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ar komercdarbības atbalstu saistīta projekta dokumentāciju glabā visu projekta pārskata periodu, sākot no dienas, kad tam ir piešķirts komercdarbības atbalsts saskaņā ar šiem noteikumiem.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komercdarbības atbalstu sniedz saskaņā ar regulas Nr. 651/2014 53. pantu un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minētās izmaksu un ieguvumu analīzes pārrēķinu un atmaksā sadarbības iestādei starpību starp faktisko un plānoto peļņu no pamatdarbības.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w:t>
      </w:r>
      <w:r w:rsidR="00000000" w:rsidRPr="00000000" w:rsidDel="00000000">
        <w:rPr>
          <w:rtl w:val="0"/>
        </w:rPr>
        <w:t xml:space="preserve">57.</w:t>
      </w:r>
      <w:r w:rsidR="00000000" w:rsidRPr="00000000" w:rsidDel="00000000">
        <w:rPr>
          <w:rtl w:val="0"/>
        </w:rPr>
        <w:t xml:space="preserve"> punktā</w:t>
      </w:r>
      <w:r w:rsidR="00000000" w:rsidRPr="00000000" w:rsidDel="00000000">
        <w:rPr>
          <w:rtl w:val="0"/>
        </w:rPr>
        <w:t xml:space="preserve"> minētās nelikumīgā komercdarbības atbalsta atgūšanas normas.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sadarbības iestāde atbalstītajā objektā konstatē komercdarbības atbalstu, tā par to informē finansējuma saņēmēju, un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ir pārkāptas regulas Nr. 651/2014 prasības vai ir konstatēts, ka projekts tā ieviešanas gaitā vai projekta pārskata periodā neatbilst šo noteikumu </w:t>
      </w:r>
      <w:r w:rsidR="00000000" w:rsidRPr="00000000" w:rsidDel="00000000">
        <w:rPr>
          <w:rtl w:val="0"/>
        </w:rPr>
        <w:t xml:space="preserve">44.1.</w:t>
      </w:r>
      <w:r w:rsidR="00000000" w:rsidRPr="00000000" w:rsidDel="00000000">
        <w:rPr>
          <w:rtl w:val="0"/>
        </w:rPr>
        <w:t xml:space="preserve"> apakšpunktā</w:t>
      </w:r>
      <w:r w:rsidR="00000000" w:rsidRPr="00000000" w:rsidDel="00000000">
        <w:rPr>
          <w:rtl w:val="0"/>
        </w:rPr>
        <w:t xml:space="preserve"> minētajiem gadījumiem vai tiek veikta saimnieciskā darbība, kas nav uzskatāma par papildpakalpojumu,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25-TA-599</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25-TA-599</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noteikumu_konsolidētā_versija_25-TA-599.docx</dc:title>
</cp:coreProperties>
</file>

<file path=docProps/custom.xml><?xml version="1.0" encoding="utf-8"?>
<Properties xmlns="http://schemas.openxmlformats.org/officeDocument/2006/custom-properties" xmlns:vt="http://schemas.openxmlformats.org/officeDocument/2006/docPropsVTypes"/>
</file>