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pasākumu "Sociālā dialoga attīstība, stiprinot sociālo partneru veiktspēju līdzdarboties likumdošanas, nacionālo reformu un koplīgumu slēgšanas pārrunu procesā"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stiprināt sociālo partneru kapacitāti piedalīties sociālajā dialogā visos līmeņos, tai skaitā koplīgumu pārrunās, tādējādi sekmējot kvalitatīvu nodarbinātību nozarēs.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organizācijas, kas nodrošina darba devēju un nodarbināto interešu pārstāvniecību nacionāla līmeņa trīspusēja sociālā dialoga institūcijās (Nacionālajā trīspusējās sadarbības padomē un tās apakšpadomēs).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sociālo partneru skaits, kas saņēmuši atbalstu, – 2, tai skaitā līdz 2024. gada 31. decembrim – 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atbalstīto sociālo partneru skaits, kas sniedz atzinumus/priekšlikumus likumdošanas procesā un Eiropas Semestra ietvaros, – 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kopējais pieejamais finansējums ir 1 704 369 </w:t>
      </w:r>
      <w:r w:rsidR="00000000" w:rsidRPr="00000000" w:rsidDel="00000000">
        <w:rPr>
          <w:i w:val="1"/>
          <w:rtl w:val="0"/>
        </w:rPr>
        <w:t xml:space="preserve">euro</w:t>
      </w:r>
      <w:r w:rsidR="00000000" w:rsidRPr="00000000" w:rsidDel="00000000">
        <w:rPr>
          <w:rtl w:val="0"/>
        </w:rPr>
        <w:t xml:space="preserve">, tai skaitā Eiropas Sociālā fonda Plus finansējums 1 448 713 </w:t>
      </w:r>
      <w:r w:rsidR="00000000" w:rsidRPr="00000000" w:rsidDel="00000000">
        <w:rPr>
          <w:i w:val="1"/>
          <w:rtl w:val="0"/>
        </w:rPr>
        <w:t xml:space="preserve">euro </w:t>
      </w:r>
      <w:r w:rsidR="00000000" w:rsidRPr="00000000" w:rsidDel="00000000">
        <w:rPr>
          <w:rtl w:val="0"/>
        </w:rPr>
        <w:t xml:space="preserve">un valsts budžeta līdzfinansējums 255 656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Katram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minētajam projekta iesniedzējam ir pieejami ne vairāk kā 50 procenti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finansējuma apmēra.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 Katrs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projekta iesniedzējs iesniedz vienu projekta iesniegumu atbilstoši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minētajam finansējuma apmēram.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iesniedzēji pasākuma ietvaros ir Latvijas Brīvo arodbiedrību savienība un Latvijas Darba devēju konfederācija – organizācijas, kuras veido nacionāla līmeņa trīspusējo sociālo dialogu un nodrošina darba devēju vai nodarbināto organizāciju interešu pārstāvniecību.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atbilstoši projektu iesniegumu atlases nolikumam sagatavo projekta iesniegumu un iesniedz to sadarbības iestādē, izmantojot Kohēzijas politikas fondu vadības informācijas sistēmu. Ja sadarbības iestāde apstiprina projekta iesniegumu, projekta iesniedzējs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kapacitātes stiprināšanas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pētījumu, ekspertīžu un analīžu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dažādu sadarbības mehānismu izveidei un uzturēšanai;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iesaistei tāda normatīvā regulējuma izstrādē un pilnveidē, kas veicina darba devēju un nodarbināto organizāciju koplīgumu 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platformu izveide un digitālo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tai skaitā 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 (papildu darbu vai pakalpojumu veikšanai), kas neparedzamu apstākļu dēļ ir kļuvušas nepieciešamas, lai nodrošinātu noslēgto līgumu izpildi, ja finansējuma saņēmējs veicis visus plānošanas pasākumus šo apstākļu novēršanai.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12.8.</w:t>
      </w:r>
      <w:r w:rsidR="00000000" w:rsidRPr="00000000" w:rsidDel="00000000">
        <w:rPr>
          <w:rtl w:val="0"/>
        </w:rPr>
        <w:t xml:space="preserve"> apakšpunktā minētās atbalstāmās darbības īstenošanai. Ja finansējuma saņēmēja projekta vadības un īstenošanas personāla iesaiste projektā ir nodrošināta saskaņā ar daļlaika izmaksu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(tai skaitā uzņēmuma līgumu)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un </w:t>
      </w:r>
      <w:r w:rsidR="00000000" w:rsidRPr="00000000" w:rsidDel="00000000">
        <w:rPr>
          <w:rtl w:val="0"/>
        </w:rPr>
        <w:t xml:space="preserve">12.8.</w:t>
      </w:r>
      <w:r w:rsidR="00000000" w:rsidRPr="00000000" w:rsidDel="00000000">
        <w:rPr>
          <w:rtl w:val="0"/>
        </w:rPr>
        <w:t xml:space="preserve"> apakšpunktā minēto atbalstāmo darbību īstenošanai, tai skaitā telpu, materiāltehnisko līdzekļu un aprīkojuma nomas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mācību, darba un dienesta komandējumu un dienesta braucienu izmaksas (arī mācību maksa), ja tās ir saistītas ar projekta rezultātu sasniegšanu,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mācību, darba un dienesta komandējumu un dienesta braucienu izmaksas (arī mācību maksa), ja tās ir saistītas ar projekta rezultātu sasniegšanu. Šīs izmaksas ir attiecināmas tikai projekta vadītājam un projekta īstenošanas personālam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jaunradītu projekta vadības un projekta īstenošanas personāla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projekta īstenošanas personāls ir nodarbināts projektā vismaz 30 procentu apmērā no normālā darba laika uz darba līguma pamata. Ja projekta vadības un projekta īstenošanas personāls ir nodarbināts pilnu darba laiku, darba vietas aprīkojuma izmaksas ir attiecināmas 100 procentu apmērā. Ja projekta vadības un projekta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izmaksas (maksa par degvielu un maksa par sabiedriskā transporta izmantošanu) attiecināmas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Ir attiecināmas arī transportlīdzekļa (tai skaitā specializētā) nomas vai transporta (tai skaitā specializētā) pakalpojumu pirkšanas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12.7.</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informatīvo un publicitātes pasākumu īstenošanas izmaksas šo noteikumu </w:t>
      </w:r>
      <w:r w:rsidR="00000000" w:rsidRPr="00000000" w:rsidDel="00000000">
        <w:rPr>
          <w:rtl w:val="0"/>
        </w:rPr>
        <w:t xml:space="preserve">12.7.</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mācību pasākumu organizēšanas izmaksas 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 indukcijas cilpu noma,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13.08.2024. noteikumiem Nr. 508)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minētajām tiešajām attiecināmajām personāla izmaksām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54. panta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neparedzētās izmaksas projektā plāno kā vienu izdevumu pozīciju. Neparedzētās izmaksas nepārsniedz divus procentus no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minētajām tiešajām attiecināmajām izmaksām, un to izlietošanu finansējuma saņēmējs saskaņo ar sadarbības iestādi, ievērojot līgumu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w:t>
      </w:r>
      <w:r w:rsidR="00000000" w:rsidRPr="00000000" w:rsidDel="00000000">
        <w:rPr>
          <w:rtl w:val="0"/>
        </w:rPr>
        <w:t xml:space="preserve">regulas 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saņēmējam projekta izmaksas ir attiecināmas, ja tās atbilst šajos noteikumos minētajām izmaksu pozīcijām un ir radušās no dienas, kad noslēgts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Valsts budžeta līdzekļu plānošanas kārtībai Eiropas Savienības fondu projektu īstenošanai un maksājumu veikšanai 2021.–2027. gada plānošanas periodā nodrošina finansējuma saņēmējam avansa maksājumus. Maksimālais avansa apjoms nepārsniedz 30 procentus no projektam piešķirtā Eiropas Sociālā fonda Plus finansējuma un, ja tas ir paredzēts projektā,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saņēmējam pieejamā maksimālā avansa un starpposma maksājuma kopsumma nepārsniedz 95 procentus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līgumos (tai skaitā uzņēmuma līgumos), kurus slēdz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prasību nodrošināšanas pasākumus saskaņā ar </w:t>
      </w:r>
      <w:r w:rsidR="00000000" w:rsidRPr="00000000" w:rsidDel="00000000">
        <w:rPr>
          <w:rtl w:val="0"/>
        </w:rPr>
        <w:t xml:space="preserve">regulas 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iepirkumus veic atklātā, pārredzamā, nediskriminējošā, sociāli atbildīgā un konkurenci nodrošinošā veidā saskaņā ar normatīvajiem aktiem publisko iepirkumu jomā.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kā arī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vismaz trīs vispārīgās un vismaz trīs specifiskās darbības, kā arī nodrošina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uzkrāšanu par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minēto specifisko projekta līmeņa iznākuma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uzkrāšanu par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minētā rezultāta rādītāja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interešu konflikta neesību.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13.08.2024. noteikumiem Nr. 508)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26-TA-546</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26-TA-546</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noteikumu_konsolidētā_versija_26-TA-546.docx</dc:title>
</cp:coreProperties>
</file>

<file path=docProps/custom.xml><?xml version="1.0" encoding="utf-8"?>
<Properties xmlns="http://schemas.openxmlformats.org/officeDocument/2006/custom-properties" xmlns:vt="http://schemas.openxmlformats.org/officeDocument/2006/docPropsVTypes"/>
</file>