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jūlijā (prot. Nr. 36 85.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Eiropas Savienības fondu vadībā iesaistītās institūcijas nodrošina šo fondu ieviešanu 2021.–2027.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w:t>
      </w:r>
      <w:r w:rsidR="00000000" w:rsidRPr="00000000" w:rsidDel="00000000">
        <w:rPr>
          <w:rStyle w:val="paragraph"/>
          <w:i w:val="1"/>
          <w:rtl w:val="0"/>
        </w:rPr>
        <w:t xml:space="preserve">7. pantu</w:t>
      </w:r>
      <w:r w:rsidR="00000000" w:rsidRPr="00000000" w:rsidDel="00000000">
        <w:rPr>
          <w:rStyle w:val="paragraph"/>
          <w:i w:val="1"/>
          <w:rtl w:val="0"/>
        </w:rPr>
        <w:t xml:space="preserve"> un </w:t>
      </w:r>
      <w:r w:rsidR="00000000" w:rsidRPr="00000000" w:rsidDel="00000000">
        <w:rPr>
          <w:rStyle w:val="paragraph"/>
          <w:i w:val="1"/>
          <w:rtl w:val="0"/>
        </w:rPr>
        <w:t xml:space="preserve">19. panta</w:t>
      </w:r>
      <w:r w:rsidR="00000000" w:rsidRPr="00000000" w:rsidDel="00000000">
        <w:rPr>
          <w:rStyle w:val="paragraph"/>
          <w:i w:val="1"/>
          <w:rtl w:val="0"/>
        </w:rPr>
        <w:t xml:space="preserve"> 2. un 10.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Eiropas Reģionālās attīstības fonda, Eiropas Sociālā fonda Plus, Kohēzijas fonda un Taisnīgas pārkārtošanās fonda (turpmāk – Eiropas Savienības fondi) vadībā iesaistītās institūcijas nodrošina šo fondu ieviešanu,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kas atbildīgas par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 9. pantā minēto horizontālo principu un principu "Energoefektivitāte pirmajā vietā" un "Klimatdrošināšana" (turpmāk – horizontālie principi) koordināciju, kā arī minēto institūciju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atlases nolikuma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vērtēšanas kritēriju un to piemērošanas metodikas izstrādes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izvērtē projekta iesniedzēja atbilstību </w:t>
      </w:r>
      <w:r w:rsidR="00000000" w:rsidRPr="00000000" w:rsidDel="00000000">
        <w:rPr>
          <w:rtl w:val="0"/>
        </w:rPr>
        <w:t xml:space="preserve">Eiropas Savienības fondu 2021.–2027. gada plānošanas perioda vadības likuma</w:t>
      </w:r>
      <w:r w:rsidR="00000000" w:rsidRPr="00000000" w:rsidDel="00000000">
        <w:rPr>
          <w:rtl w:val="0"/>
        </w:rPr>
        <w:t xml:space="preserve"> (turpmāk – likums) </w:t>
      </w:r>
      <w:r w:rsidR="00000000" w:rsidRPr="00000000" w:rsidDel="00000000">
        <w:rPr>
          <w:rtl w:val="0"/>
        </w:rPr>
        <w:t xml:space="preserve">22. pantā</w:t>
      </w:r>
      <w:r w:rsidR="00000000" w:rsidRPr="00000000" w:rsidDel="00000000">
        <w:rPr>
          <w:rtl w:val="0"/>
        </w:rPr>
        <w:t xml:space="preserve"> minētajiem izslēgšanas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civiltiesiskā līguma vai vienošanās par projekta īstenošanu (turpmāk – līgums vai vienošanās)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vai vienošanās noslēgšanas un grozījumu (tai skaitā arī sadarbības iestādes vienpusēja paziņojuma un vienpusēja uzteikuma) izdarīšanas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sadarbības partnera piesaistes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Eiropas Savienības fondu vadībā iesaistītās institūcijas un Eiropas Savienības fondu finansējuma saņēmējs (turpmāk – finansējuma saņēmējs) publisko informāciju par projektiem (turpmāk – projekti) un nodrošina Eiropas Savienības fondu publicitātes, saziņas un vizuālās identitātes prasību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izmaksu efektivitātes novērtēšanas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ietvertie nosacījumi neattiecas uz finanšu instrumentiem, tai skaitā kombinētajiem atbalsta veidiem saskaņā ar regulas 2021/1060 58. panta 4. un 5. punktu. Šajos noteikumos ietvertie nosacījumi attiecas uz finanšu instrumentu ieguldījumu fondiem tiktāl, ciktāl tie nav pretrunā normatīvajiem aktiem par attiecīgā specifiskā atbalsta mērķa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saglabājot atbildību par projekta īstenošanu, mērķu sasniegšanu, izdevumu attiecināmību, kā arī maksājumu veikšanu un iepirkuma procedūras veikšanu, var projekta īstenošanā piesaistīt sadarbības partneri, kurš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prasībām, kas noteiktas normatīvajā aktā par specifiskā atbalsta mērķa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iesaistās projekta īstenošanā ar tā valdījumā vai īpašumā esošo mantu, intelektuālo īpašumu, finansējumu vai cilvēkresursiem;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ar sadarbības partneri nevar rasties tādas tiesiskās attiecības, no kurām izrietētu, ka šis darījums atbilst publiska iepirkuma līguma pazīmēm atbilstoši </w:t>
      </w:r>
      <w:r w:rsidR="00000000" w:rsidRPr="00000000" w:rsidDel="00000000">
        <w:rPr>
          <w:rtl w:val="0"/>
        </w:rPr>
        <w:t xml:space="preserve">Publisko iepirkumu likumam</w:t>
      </w:r>
      <w:r w:rsidR="00000000" w:rsidRPr="00000000" w:rsidDel="00000000">
        <w:rPr>
          <w:rtl w:val="0"/>
        </w:rPr>
        <w:t xml:space="preserve"> vai </w:t>
      </w:r>
      <w:r w:rsidR="00000000" w:rsidRPr="00000000" w:rsidDel="00000000">
        <w:rPr>
          <w:rtl w:val="0"/>
        </w:rPr>
        <w:t xml:space="preserve">Sabiedrisko pakalpojumu sniedzēju iepirkumu likumam</w:t>
      </w:r>
      <w:r w:rsidR="00000000" w:rsidRPr="00000000" w:rsidDel="00000000">
        <w:rPr>
          <w:rtl w:val="0"/>
        </w:rPr>
        <w:t xml:space="preserve"> vai ka darījumam jāpiemēro normatīvie akti par iepirkuma procedūru un tās piemērošanas kārtību pasūtītāja finansētiem projektiem.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nav tiesīgs ar projekta īstenošanu saistītās tiesības un pienākumus nodot citai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īstenojot projektu sadarbībā ar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sadarbības partneri: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sadarbības līgumu ar sadarbības partneri, ja normatīvajā aktā par specifiskā atbalsta mērķa īstenošanu nav noteikts citādi, un nodrošina, ka sadarbības partneris ievēro projekta īstenošanā izvirzītās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nedeleģē sadarbības partnerim atbildību par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18. panta</w:t>
      </w:r>
      <w:r w:rsidR="00000000" w:rsidRPr="00000000" w:rsidDel="00000000">
        <w:rPr>
          <w:rtl w:val="0"/>
        </w:rPr>
        <w:t xml:space="preserve"> pirmajā daļā noteiktajiem finansējuma saņēmēja pienākumiem, kā arī maksājumu pieprasījumu iesniegšanu sadarbības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saņēmējs sadarbības līgumā iekļauj vismaz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pienākumi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finansējuma plānošana,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piešķirto finanšu līdzekļu izmaksas apturēšanas, izmaksas turpināšanas un atgūšanas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īpašumu vai pamatlīdzekļu juridisko piederību un projekta īstenošanas rezultātā radīto vai iegādāto vērtību piederību, kā arī to uzturēšanas un izmantošanas kārtību,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partnera un finansējuma saņēmēja rekvizīti;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Horizontālie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horizontālo principu koordināciju (turpmāk – ieviešanas uzraudzība) Eiropas Savienības kohēzijas politikas programmas 2021.–2027. gadam (turpmāk – programma) ieguldījumu ietvaros ir atbildīgas šādas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Labklājības ministrija sadarbībā ar Tieslietu ministriju – par horizontālā principa "Vienlīdzība, iekļaušana, nediskriminācija un pamattiesību ievērošana" (regulas 2021/1060 9. panta 1., 2. un 3. daļa) ieviešanas uzraudzību, aptverot tādas jomas kā pamattiesību ievērošana, dzimumu līdztiesība starp vīriešiem un sievietēm, diskriminācijas novēršana dzimuma, rases vai etniskās izcelsmes, reliģijas vai pārliecības, invaliditātes, vecuma vai dzimumorientācijas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 par horizontālā principa "Klimatdrošināšana" ieviešanas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 par horizontālā principa "Energoefektivitāte pirmajā vietā" ieviešanas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visas atbildīgās iestādes – par horizontālā principa "Nenodarīt būtisku kaitējumu" (regulas 2021/1060 9. panta 4. daļa) ieviešanas uzraudzību atbilstoši attiecīgās iestādes  pārraudzībā esošajiem specifiskajiem atbalsta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Institūcijām, kas atbildīgas par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minēto horizontālo principu ieviešanas uzraudzību,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metodisko materiālu par attiecīgo horizontālo principu ieviešanu, ieviešanas uzraudzību, nodrošināt konsultatīvu un metodisku atbalstu Eiropas Savienības fondu vadībā iesaistītajām institūcijām specifisko atbalsta mērķu ieviešanas nosacījumu definēšanā un pēc pieprasījuma atbilstoši kompetencei sniegt viedokli projektu iesniegumu vērtēšanas komisijai par attiecīgā horizontālā principa vērtēšanas jautājumiem un finansējuma saņēmējam saistībā ar attiecīgā horizontālā principa piemērošanas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 par Eiropas Savienības fondu plānošanas dokumentu projektiem un tiesību aktu projektiem Eiropas Savienības fondu jomā, kā arī sniegt uzraudzības komitejai un apakškomitejai viedokli par projektu iesniegumu vērtēšanas kritēriju projektiem, kas saistīti ar horizontālajiem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uzraudzības komiteju par Eiropas Savienības fondu ieguldījumu atbilstību attiecīgajiem horizontālajiem principiem programmas ieviešanā.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Iestādēm, kas atbildīgas par šo noteikumu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minētā horizontālā principa ieviešanas uzraudzību, ir pienākums izstrādāt horizontālā principa "Nenodarīt būtisku kaitējumu" novērtējumu par katru pārraudzībā esošo specifisko atbalsta mērķi un, ja nepieciešams, nodrošināt novērtējumā ietverto nepieciešamo darbību ietveršanu normatīvajos aktos par specifisko atbalsta mērķu īstenošanu un specifiskajos atbilstības un kvalitātes projektu iesniegumu vērtēšanas kritērijos.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Institūcijām, kas atbildīgas par horizontālo principu ieviešanas uzraudzību, ir tiesības pieprasīt un saņemt no citām Eiropas Savienības fondu vadībā iesaistītajām institūcijām un nozaru ministrijām informāciju, kas nepieciešama horizontālo principu ieviešanai (ja minētā informācija nav pieejama Kohēzijas politikas fondu vadības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Institūcijas, kas atbildīgas par horizontālo principu ieviešanas uzraudzību, informē Eiropas Savienības fondu vadībā iesaistītās institūcijas par konstatētajiem būtiskajiem trūkumiem un vienlaikus sniedz argumentētus priekšlikumus atbilstīgai un efektīvai horizontālo principu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Savienības fondu vadībā vai īstenošanā iesaistītās institūcijas, konstatējot horizontālā principa "Vienlīdzība, iekļaušana, nediskriminācija un pamattiesību ievērošana" iespējamus pārkāpumus vai saņemot sūdzības par Eiropas Savienības fondu atbalstīto darbību neatbilstību Eiropas Savienības Pamattiesību hartai (vienlīdzība, nediskriminācija, iekļaušana, pamattiesības) un ANO Konvencijai par personu ar invaliditāti tiesībām, ziņo par to sadarbības iestādei un nosūta informāciju arī Tieslietu ministrijai un Labklājības ministrijai.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Labklājības ministrija sadarbībā ar Tieslietu ministriju reizi gadā informē Eiropas Savienības fondu uzraudzības komiteju par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minētajiem pārkāpumiem atbilstoši Eiropas Savienības fondu uzraudzības komitejas reglamentam.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Projektu iesniegumu atlase un līguma vai vienošanās slēgšana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Sadarbības iestāde izstrādā projektu iesniegumu atlases nolikumu un saskaņo to ar atbildīgo iestādi. Minētajā nolikumā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specifiskā atbalsta mērķa numurs un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mērķa pasākums,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mērķa vai pasākuma projektu iesniegumu atlases kārta,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atlases īstenošanas veids atbilstoši normatīvajam aktam par specifiskā atbalsta mērķa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atlasei pieejamais Eiropas Savienības fonda finansējums, maksimālā atbalsta intensitāte un nepieciešamais līdzfinansējums atbilstoši normatīvajam aktam par specifiskā atbalsta mērķa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norāde uz normatīvajā aktā par specifiskā atbalsta mērķa īstenošanu ietvertajām prasībām projekta iesniedzējam;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iesniegšanas Kohēzijas politikas fondu vadības informācijas sistēmā (turpmāk – KPV informācijas sistēma) sākuma un beigu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iesniegumu sagatavošanas un iesniegšanas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papildus iesniedzamo dokumentu saraksts;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uzraudzības komitejā apstiprinātie projektu iesniegumu vērtēšanas kritēriji un šo kritēriju piemērošanas metodika;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iesniegumu vērtēšanas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lēmuma par projekta iesnieguma apstiprināšanu, apstiprināšanu ar nosacījumu vai noraidīšanu pieņemšanas un paziņošanas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norāde uz līguma vai vienošanās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kārtība, kādā sadarbības iestāde veic pārbaudi par projekta iesniedzēja atbilstību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pantā</w:t>
      </w:r>
      <w:r w:rsidR="00000000" w:rsidRPr="00000000" w:rsidDel="00000000">
        <w:rPr>
          <w:rtl w:val="0"/>
        </w:rPr>
        <w:t xml:space="preserve"> noteiktajiem projektu iesniedzēju izslēgšanas noteikumiem (izņemot </w:t>
      </w:r>
      <w:r w:rsidR="00000000" w:rsidRPr="00000000" w:rsidDel="00000000">
        <w:rPr>
          <w:rtl w:val="0"/>
        </w:rPr>
        <w:t xml:space="preserve">likuma</w:t>
      </w:r>
      <w:r w:rsidR="00000000" w:rsidRPr="00000000" w:rsidDel="00000000">
        <w:rPr>
          <w:shd w:fill="#ffffff" w:val="clear"/>
          <w:rtl w:val="0"/>
        </w:rPr>
        <w:t xml:space="preserve"> </w:t>
      </w:r>
      <w:r w:rsidR="00000000" w:rsidRPr="00000000" w:rsidDel="00000000">
        <w:rPr>
          <w:rtl w:val="0"/>
        </w:rPr>
        <w:t xml:space="preserve">22. panta</w:t>
      </w:r>
      <w:r w:rsidR="00000000" w:rsidRPr="00000000" w:rsidDel="00000000">
        <w:rPr>
          <w:rtl w:val="0"/>
        </w:rPr>
        <w:t xml:space="preserve"> pirmās daļas 5. punktā minēto noteikumu).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iestāde projektu iesniegumu atlasi izsludina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atlase ir atklāta, sadarbības iestāde oficiālajā izdevumā "Latvijas Vēstnesis" iesniedz paziņojumu par šīs atlases izsludināšanu un ne vēlāk kā atlases izsludināšanas dienā Eiropas Savienības fondu tīmekļvietnē (www.esfondi.lv) ievieto projektu iesniegumu atlases nolikumu;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atlase ir ierobežota, sadarbības iestāde normatīvajā aktā par specifiskā atbalsta mērķa īstenošanu noteiktajiem projektu iesniedzējiem nosūta uzaicinājumu iesniegt projekta iesniegumu, informējot par to atbildīgo iestādi, un nodrošina, ka uzaicinājuma nosūtīšanas dienā Eiropas Savienības fondu tīmekļvietnē (www.esfondi.lv) ir pieejams projektu iesniegumu atlases nolikums.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komisija pēc projektu iesniegumu iesniegšanas termiņa beigām vērtē projektu iesniegumus saskaņā ar projektu iesniegumu vērtēšanas kritērijiem, ievērojot minēto kritēriju piemērošanas metodiku. Ja projektu iesniegumu atlase ir ierobežota, projektu iesniegumu vērtēšanas komisija projekta iesniegumu šajā punktā minētajā kārtībā var sākt vērtēt uzreiz pēc tā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Līguma vai vienošanās projektu var precizēt atbilstoši projekta specifikai līguma vai vienošanās slēgšanas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Sadarbības iestāde un finansējuma saņēmējs līgumu vai vienošanos noslēdz 30 darbdienu laikā no brīža, kad stājies spēkā lēmums par projekta iesnieguma apstiprināšanu vai atzinums par lēmumā ietverto nosacījumu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finansējuma saņēmēja motivēta lūguma vai citu objektīvu apstākļu dēļ sadarbības iestāde var pagarināt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līguma vai vienošanās noslēgšanas termiņu, ievērojot, lai tas kopumā no brīža, kad stājies spēkā lēmums par projekta iesnieguma apstiprināšanu vai atzinums par lēmumā ietverto nosacījumu izpildi, nepārsniedz 60 darbdienas. Pēc minētā termiņa līguma vai vienošanās slēgšana nav pieļaujama.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lēmuma pieņemšanas par projekta iesnieguma apstiprināšanu vai atzinuma sniegšanas par lēmumā ietverto nosacījumu izpildi, bet pirms līguma vai vienošanās noslēgšanas finansējuma saņēmējs vai sadarbības iestāde var precizēt projekta iesniegumā norādīto informāciju, ja tā ir zaudējusi aktualitāti un pēc būtības nemaina projekta iesniegumu. Precizējumus izdara, nepārsniedzot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termiņu.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Projektu iesniegumu vērtēšanas kritēriju un to piemērošanas metodikas izstrādes apjoms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Vadošā iestāde izstrādā vienotos projektu iesniegumu vērtēšanas kritērijus un ietver tos projektu iesniegumu atlases metodikā.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 metodikā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par projektu iesniegumu vērtēšanas kritēriju veidiem un to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un vērtēšanas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vienoto kritēriju sarakstu, kuri iekļaujami visos projektu iesniegumu vērtēšanas kritēriju komplektos;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vienoto izvēles kritēriju sarakstu, kuri iekļaujami projektu iesniegumu vērtēšanas kritēriju komplektos, ņemot vērā normatīvajos aktos par specifiskā atbalsta mērķa īstenošanu ietvertās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 metodikā ietverto šo noteikumu </w:t>
      </w:r>
      <w:r w:rsidR="00000000" w:rsidRPr="00000000" w:rsidDel="00000000">
        <w:rPr>
          <w:rtl w:val="0"/>
        </w:rPr>
        <w:t xml:space="preserve">22.3. </w:t>
      </w:r>
      <w:r w:rsidR="00000000" w:rsidRPr="00000000" w:rsidDel="00000000">
        <w:rPr>
          <w:rtl w:val="0"/>
        </w:rPr>
        <w:t xml:space="preserve">apakšpunktā</w:t>
      </w:r>
      <w:r w:rsidR="00000000" w:rsidRPr="00000000" w:rsidDel="00000000">
        <w:rPr>
          <w:rtl w:val="0"/>
        </w:rPr>
        <w:t xml:space="preserve"> minēto vienoto kritēriju un </w:t>
      </w:r>
      <w:r w:rsidR="00000000" w:rsidRPr="00000000" w:rsidDel="00000000">
        <w:rPr>
          <w:rtl w:val="0"/>
        </w:rPr>
        <w:t xml:space="preserve">22.4. </w:t>
      </w:r>
      <w:r w:rsidR="00000000" w:rsidRPr="00000000" w:rsidDel="00000000">
        <w:rPr>
          <w:rtl w:val="0"/>
        </w:rPr>
        <w:t xml:space="preserve">apakšpunktā</w:t>
      </w:r>
      <w:r w:rsidR="00000000" w:rsidRPr="00000000" w:rsidDel="00000000">
        <w:rPr>
          <w:rtl w:val="0"/>
        </w:rPr>
        <w:t xml:space="preserve"> minēto vienoto izvēles kritēriju piemērošanas skaidrojumi piemērojami visiem specifiskajiem atbalsta mērķiem vienādi.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Atbildīgā iestāde izstrādā  specifiskos atbilstības un kvalitātes kritērijus un šo kritēriju piemērošanas skaidrojumus, ņemot vērā attiecīgā specifiskā atbalsta mērķa specifiku. Specifisko atbilstības un kvalitātes kritēriju piemērošanas skaidrojumus atbildīgā iestāde izstrādā kopīgi ar sadarbības iestādi. Atbildīgā iestāde izstrādā piemērošanas skaidrojumus tiem šo noteikumu </w:t>
      </w:r>
      <w:r w:rsidR="00000000" w:rsidRPr="00000000" w:rsidDel="00000000">
        <w:rPr>
          <w:rtl w:val="0"/>
        </w:rPr>
        <w:t xml:space="preserve">22.3. </w:t>
      </w:r>
      <w:r w:rsidR="00000000" w:rsidRPr="00000000" w:rsidDel="00000000">
        <w:rPr>
          <w:rtl w:val="0"/>
        </w:rPr>
        <w:t xml:space="preserve">apakšpunktā</w:t>
      </w:r>
      <w:r w:rsidR="00000000" w:rsidRPr="00000000" w:rsidDel="00000000">
        <w:rPr>
          <w:rtl w:val="0"/>
        </w:rPr>
        <w:t xml:space="preserve"> minētajiem vienotajiem kritērijiem un šo noteikumu </w:t>
      </w:r>
      <w:r w:rsidR="00000000" w:rsidRPr="00000000" w:rsidDel="00000000">
        <w:rPr>
          <w:rtl w:val="0"/>
        </w:rPr>
        <w:t xml:space="preserve">22.4. </w:t>
      </w:r>
      <w:r w:rsidR="00000000" w:rsidRPr="00000000" w:rsidDel="00000000">
        <w:rPr>
          <w:rtl w:val="0"/>
        </w:rPr>
        <w:t xml:space="preserve">apakšpunktā</w:t>
      </w:r>
      <w:r w:rsidR="00000000" w:rsidRPr="00000000" w:rsidDel="00000000">
        <w:rPr>
          <w:rtl w:val="0"/>
        </w:rPr>
        <w:t xml:space="preserve"> minētajiem vienotajiem izvēles kritērijiem, kuriem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 metodikā nav ietverti vienotie piemērošanas skaidrojumi. Minētos piemērošanas skaidrojumus atbildīgā iestāde izstrādā kopīgi ar sadarbības iestādi.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Kārtība, kādā izvērtē projekta iesniedzēja atbilstību izslēgšanas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pārbaudītu, vai uz projekta iesniedzēju nav attiecināms kāds no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1., 2. un 3. punktā minētajiem noziedzīgajiem nodarījumiem un pārkāpumiem, par kuriem attiecīgā panta pirmajā daļā minētā persona sodīta Latvijā, vai nav iestājušies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4. punktā minētie fakti, sadarbības iestāde, izmantojot valsts informācijas sistēmu savietotāju, iegūst ziņas no Sodu reģistra un Latvijas Republikas Uzņēmumu reģistra informācijas sistēmas šādā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1., 2. un 3. punktā minētajiem pārkāpumiem un noziedzīgajiem nodarījumiem – no Iekšlietu ministrijas Informācijas centra (Sodu reģistra). Sadarbības iestāde minēto informāciju no Iekšlietu ministrijas Informācijas centra (Sodu reģistra) ir tiesīga saņemt, neprasot projekta iesniedzēja un citu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1. punktā minēto personu piekrišanu;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4. punktā minētajiem faktiem – no Latvijas Republikas Uzņēmumu reģistra (Uzņēmumu reģistra informācijas sistēmas).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informāciju (veidlapas paraugs –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sadarbības iestādei sniedz valsts informācijas sistēmu savietotāja pārzinis (Valsts reģionālās attīstības aģentūra).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Iekšlietu ministrijas Informācijas centrs (Sodu reģistrs) sniedz ziņas par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w:t>
      </w:r>
      <w:r w:rsidR="00000000" w:rsidRPr="00000000" w:rsidDel="00000000">
        <w:rPr>
          <w:rtl w:val="0"/>
        </w:rPr>
        <w:t xml:space="preserve">Krimināllikuma</w:t>
      </w:r>
      <w:r w:rsidR="00000000" w:rsidRPr="00000000" w:rsidDel="00000000">
        <w:rPr>
          <w:rtl w:val="0"/>
        </w:rPr>
        <w:t xml:space="preserve">, </w:t>
      </w:r>
      <w:r w:rsidR="00000000" w:rsidRPr="00000000" w:rsidDel="00000000">
        <w:rPr>
          <w:rtl w:val="0"/>
        </w:rPr>
        <w:t xml:space="preserve">Konkurences likuma</w:t>
      </w:r>
      <w:r w:rsidR="00000000" w:rsidRPr="00000000" w:rsidDel="00000000">
        <w:rPr>
          <w:rtl w:val="0"/>
        </w:rPr>
        <w:t xml:space="preserve">, </w:t>
      </w:r>
      <w:r w:rsidR="00000000" w:rsidRPr="00000000" w:rsidDel="00000000">
        <w:rPr>
          <w:rtl w:val="0"/>
        </w:rPr>
        <w:t xml:space="preserve">Imigrācijas likuma</w:t>
      </w:r>
      <w:r w:rsidR="00000000" w:rsidRPr="00000000" w:rsidDel="00000000">
        <w:rPr>
          <w:rtl w:val="0"/>
        </w:rPr>
        <w:t xml:space="preserve"> un </w:t>
      </w:r>
      <w:r w:rsidR="00000000" w:rsidRPr="00000000" w:rsidDel="00000000">
        <w:rPr>
          <w:rtl w:val="0"/>
        </w:rPr>
        <w:t xml:space="preserve">Darba likuma</w:t>
      </w:r>
      <w:r w:rsidR="00000000" w:rsidRPr="00000000" w:rsidDel="00000000">
        <w:rPr>
          <w:rtl w:val="0"/>
        </w:rPr>
        <w:t xml:space="preserve"> pārkāpumiem.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sadarbības iestādei tehnisku iemeslu dēļ nav iespējams informāciju iegūt, izmantojot valsts informācijas sistēmas savietotāju, sadarbības iestāde attiecīgo informāciju pieprasa no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minētajām valsts iestādēm.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Līguma vai vienošanās saturs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Līguma vai vienošanās neatņemamas sastāvdaļas ir projekta iesniegums un līguma vai vienošanās vispārīgie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iestāde līguma vai vienošanās individuālās daļas saturā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un finansējuma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darbību īstenošanas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laikposms, kurā veiktās izmaksas var uzskatīt par attiecināmām, nepārsniedzot normatīvajos aktos par specifiskā atbalsta mērķa īstenošanu noteikto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kopējie izdevumi, tai skaitā Eiropas Savienības fonda un projekta līdzfinansējuma (valsts budžeta finansējums, pašvaldību finansējums, cits publiskais finansējums, privātais finansējums) apmērs;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speciālie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Sadarbības iestāde līguma vai vienošanās vispārīgajos noteikumos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un finansējuma saņēmēja tiesības un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un tā sadarbības partnera sadarbības noteikumi,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sagatavojama, iesniedzama, izskatāma un apstiprināma Eiropas Savienības fonda maksājuma pieprasījuma un projekta īstenošanas uzraudzībai un izvērtēšanai nepieciešamā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fonda un valsts budžeta finansējuma izmaksas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uzraudzības, kontroļu un citu pārbaužu veikšanas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pēcuzraudzības kārtība, kā arī komercdarbības atbalsta nosacījumu ievērošanas nosacījumi,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līguma vai vienošanās izpildi saistīto paziņojumu iesniegšanas kārtība un kārtība, kādā tie atzīstami par saistošiem;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projekta īstenošanu saistīto dokumentu uzglabāšanas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piešķirto finanšu līdzekļu izmaksas apturēšanas, izmaksas turpināšanas un atgūšanas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par saistību tiesību pastiprinājumiem un sankcijām;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līguma vai vienošanās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Līguma vai vienošanās grozījumu izdarīšanas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pēc līguma vai vienošanās noslēgšanas to individuālajā daļā vai projekta iesniegumā ir nepieciešami grozījumi, sadarbības iestāde vai finansējuma saņēmējs KPV informācijas sistēmā ierosina līguma vai vienošanās grozījumus.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mainījušies finansējuma saņēmēja pamatdati (kontaktinformācija, juridiskā adrese, atbildīgā amatpersona), sadarbības iestāde vai finansējuma saņēmējs veic atbilstošas izmaiņas KPV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Sadarbības iestāde veic atbilstošas izmaiņas KPV informācijas sistēmā, par to vienpusēji paziņojot finansējuma saņēmējam, ja veicami šādi līguma vai vienošanās grozījumi: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projekta attiecināmā finansējuma gala summu pēc informācijas par projekta izdevumiem, īstenošanas progresu un rādītāju sasniegšanu un projekta noslēguma maksājuma pieprasījuma izskatīšanas;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samazinot projekta attiecināmo izdevumu summu par neatbilstoši veikto izdevumu summu pēc lēmuma par neatbilstības konstatēšanu apstrīdēšanas termiņa beigām;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izmaiņām līguma vai vienošanās vispārīgajos noteikumos.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iestādei ir tiesības veikt vienpusēju uzteikumu, atkāpjoties no līguma vai vienošanās,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vai vienošanās nosacījumus, tai skaitā projekts netiek īstenots atbilstoši noteiktajiem termiņiem vai ir iestājušies citi apstākļi, kas negatīvi ietekmē vai var ietekmēt līguma vai vienošanās nosacījumu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kurus nosaka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ir nepieciešami līguma vai vienošanās grozījumi (izņemot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 punktā</w:t>
      </w:r>
      <w:r w:rsidR="00000000" w:rsidRPr="00000000" w:rsidDel="00000000">
        <w:rPr>
          <w:rtl w:val="0"/>
        </w:rPr>
        <w:t xml:space="preserve"> minētos grozījumus), tos izdara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grozījumu priekšlikumu KPV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20 darbdienu laikā pēc grozījumu priekšlikuma saņemšanas pārbauda iesniegto grozījumu lietderību, pamatotību un nepieciešamību projekta sākotnējā mērķa sasniegšanai un apstiprina līguma vai vienošanās grozījumus vai noraida grozījumu priekšlikumu;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sadarbības iestāde noraida grozījumu priekšlikumu, tā norāda atteikuma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veicami grozījumu priekšlikuma precizējumi, sadarbības iestāde informē finansējuma saņēmēju par veicamajiem precizējumiem grozījumu priekšlikumā un tā atkārtotas iesniegšanas kārtību. Grozījumu izvērtēšanas termiņu pagarina par precizējumu iesniegšanai un izskatīšanai nepieciešamo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36.2. </w:t>
      </w:r>
      <w:r w:rsidR="00000000" w:rsidRPr="00000000" w:rsidDel="00000000">
        <w:rPr>
          <w:rtl w:val="0"/>
        </w:rPr>
        <w:t xml:space="preserve">apakšpunktam</w:t>
      </w:r>
      <w:r w:rsidR="00000000" w:rsidRPr="00000000" w:rsidDel="00000000">
        <w:rPr>
          <w:rtl w:val="0"/>
        </w:rPr>
        <w:t xml:space="preserve"> izvērtējot iesniegto grozījumu lietderību, pamatotību un nepieciešamību projekta sākotnējā mērķa sasniegšanai, sadarbības iestāde saskaņā ar noslēgto starpresoru vienošanos saskaņo iesniegtos grozījumus ar atbildīgo iestādi, ja grozījumi ietekmē noteiktos atbildīgās iestādes pienākumus specifiskā atbalsta mērķa vai pasākuma rezultātu sasniegšanā.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Kārtība, kādā Eiropas Savienības fondu vadībā iesaistītās institūcijas un finansējuma saņēmējs publisko informāciju par projektiem un nodrošina Eiropas Savienības fondu publicitātes, saziņas un vizuālās identitātes prasību ievērošanu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Vadošā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regulas 2021/1060 46., 47., 48. un 49. pantā noteikto pienākumu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publicē Eiropas Savienības fondu tīmekļvietnē (www.esfondi.lv) Eiropas Savienības fondu 2021.–2027. gada plānošanas perioda un Atveseļošanas fonda komunikācijas un dizaina vadlīnijas (turpmāk – komunikācijas vadlīnijas);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un atjaunina Eiropas Savienības fondu tīmekļvietnē (www.esfondi.lv) informāciju atbilstoši regulas 2021/1060 49. panta 1., 2., 3., 4. un 5. punktam, kā arī citu informāciju par Eiropas Savienības fondu ieviešanu un projektiem atbilstoši komunikācijas vadlīnijām;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Eiropas Savienības fondu stratēģisko komunikāciju nozaru līmenī, izstrādājot komunikācijas stratēģiju Eiropas Savienības fondu 2021.–2027. gada plānošanas periodam (turpmāk – stratēģija). Stratēģiju sadarbībā ar atbildīgajām iestādēm un sadarbības iestādi aktualizē reizi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 kopējo Eiropas Savienības fondu plānošanas perioda komunikācijas plānu, kā arī līdz kārtējā gada 1. decembrim – ikgadējo komunikācijas plānu, kurā ietverti nākamajā kalendāra gadā plānotie vadošās iestādes komunikācijas pasākumi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koordinē Eiropas Savienības fondu vadībā iesaistīto institūciju ikgadējo Eiropas Savienības fondu komunikācijas plānu (turpmāk – komunikācijas plāns) izstrādi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reizi nedēļā nodrošina komunikācijas plānā iekļautās un operatīvās informācijas atjaunošanu;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vadošās iestādes izveidotās Eiropas Savienības fondu komunikācijas vadības grupas darbību, izstrādā tās reglamentu un nosaka dalībnieku sastāvu. Darba grupas darbā piedalās Eiropas Savienības fondu vadībā iesaistīto institūciju pārstāvji un var tikt pieaicināti biedrību un nodibinājumu pārstāvji un citi eksperti;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atbildīgajām iestādēm un sadarbības iestādei metodisku atbalstu informācijas un komunikācijas pasākumu īstenošanā;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plašsaziņas līdzekļiem un ievieto sociālajos medijos informāciju par Eiropas Savienības fondu plānošanu un ieviešanu.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Atbildīgā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kopējo Eiropas Savienības fondu plānošanas perioda komunikācijas plānu, kā arī līdz kārtējā gada 1. decembrim – ikgadējo komunikācijas plānu, kurā ietverti nākamajā kalendāra gadā plānotie atbildīgās iestādes komunikācijas pasākumi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attiecīgās ministrijas pārziņā esošu Eiropas Savienības fondu komunikācijas vadības grupu un nodrošina tās darbību. Darba grupas darbā piedalās atbildīgās iestādes pārstāvji un var tikt pieaicināti Eiropas Savienības fondu finansējuma saņēmēju pārstāvji, vadošās iestādes, biedrību un nodibinājumu pārstāvji un citi eksperti;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plašsaziņas līdzekļiem un ievieto sociālajos medijos informāciju par Eiropas Savienības fondu plānošanu un ieviešanu;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un reizi gadā līdz 1. novembrim elektroniski iesniedz vadošajā iestādē informāciju par attiecīgajā gadā īstenotajiem informācijas un komunikācijas pasākumiem un sasniegtajiem stratēģijas informācijas un komunikācijas pasākumu rādītājiem;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publisko Eiropas Savienības fondu tīmekļvietnē (www.esfondi.lv) informāciju par Eiropas Savienības fondu ieviešanu un projektiem atbilstoši komunikācijas vadlīnijām;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komunikācijas un publicitātes pasākumus par stratēģiski svarīgiem projektiem un darbībām.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Sadarbības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kopējo Eiropas Savienības fondu plānošanas perioda komunikācijas plānu, kā arī līdz kārtējā gada 1. decembrim – ikgadējo komunikācijas plānu, kurā ietverti nākamajā kalendāra gadā plānotie sadarbības iestādes komunikācijas pasākumi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plašsaziņas līdzekļiem un ievieto sociālajos medijos informāciju par Eiropas Savienības fondu ieviešanu;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informācijas centra funkcijas, sniedzot interesentiem atbildes par Eiropas Savienības fondu pieejamo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un komunikācijas pasākumus atbilstoši iestādes kompetencei;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uzrauga, kā finansējuma saņēmēji izpilda regulas 2021/1060 47., 50. pantā un IX pielikumā un komunikācijas vadlīnijās noteiktos pienākumus informācijas un komunikācijas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sagatavo un reizi gadā līdz 1. novembrim elektroniski iesniedz vadošajā iestādē informāciju par attiecīgajā gadā īstenotajiem informācijas un komunikācijas pasākumiem un sasniegtajiem stratēģijas informācijas un komunikācijas pasākumu rādītājiem;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iestādes kompetencei sniedz vadošajai iestādei atbalstu informācijas publiskošanā Eiropas Savienības fondu tīmekļvietnē (www.esfondi.lv), kā arī publisko minētajā tīmekļvietnē citu informāciju par Eiropas Savienības fondu ieviešanu un projektiem atbilstoši komunikācijas vadlīnijām.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Revīzijas iestāde veic komunikācijas un publicitātes pasākumus, kas attiecināmi uz revīzijas iestādes funkciju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Finansējuma saņēmējs publisko informāciju par projektiem un nodrošina Eiropas Savienības fondu publicitātes, saziņas un vizuālās identitātes prasību ievērošanu, pildot regulas 2021/1060 47., 50. pantā un IX pielikumā noteiktos pienākumus.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Eiropas Savienības fondu vadībā iesaistītās institūcijas un finansējuma saņēmēji ievēro komunikācijas vadlīnijās noteiktās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Projekta izmaksu un ieguvumu efektivitātes novērtēšana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Šī nodaļa un šo noteikumu </w:t>
      </w:r>
      <w:r w:rsidR="00000000" w:rsidRPr="00000000" w:rsidDel="00000000">
        <w:rPr>
          <w:rtl w:val="0"/>
        </w:rPr>
        <w:t xml:space="preserve">4. pielikums</w:t>
      </w:r>
      <w:r w:rsidR="00000000" w:rsidRPr="00000000" w:rsidDel="00000000">
        <w:rPr>
          <w:rtl w:val="0"/>
        </w:rPr>
        <w:t xml:space="preserve"> attiecas uz projektiem, kuri pēc to pabeigšanas gūst neto ienākumus vai kuriem normatīvie akti par attiecīgā specifiskā atbalsta mērķa īstenošanu paredz veikt izmaksu un ieguvumu analīzi.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normatīvajā aktā par specifiskā atbalsta mērķa īstenošanu ir noteikts, ka potenciālo neto ienākumu no projekta aprēķina saskaņā ar projekta diskontēto neto ienākumu aprēķināšanas metodi, projekta iesniedzējs veic aprēķinus un aizpilda projekta izmaksu efektivitātes novērtēšanas veidlapu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nodrošinātu iespēju savstarpēji salīdzināt projektus specifiskā atbalsta mērķa vai pasākuma vienas projektu iesniegumu atlases kārtas ietvaros, sadarbības iestāde projektu iesniegumu atlases nolikumā iekļauj informāciju par to, kur projekta iesniedzējam, sākot ar projektu iesniegumu atlases kārtas izsludināšanas dienu, ir pieejami aktuālie makroekonomiskie pieņēmumi un prognozes atbilstoši normatīvajiem aktiem publiskās un privātās partnerības jomā, ko projekta iesniedzējam ir pienākums izmantot, sagatavojot projekta iesniegumu konkrētās projektu iesniegumu atlases kārtas ietvaros.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minētos makroekonomiskos pieņēmumus un prognozes piemēro projekta iesnieguma sagatavošanas, vērtēšanas, apstiprināšanas un projekta īstenošanas laikā attiecīgās projektu iesniegumu atlases kārtas ietvaros.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22-TA-2143</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22-TA-2143</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noteikumu_projekts_22-TA-2143.docx</dc:title>
</cp:coreProperties>
</file>

<file path=docProps/custom.xml><?xml version="1.0" encoding="utf-8"?>
<Properties xmlns="http://schemas.openxmlformats.org/officeDocument/2006/custom-properties" xmlns:vt="http://schemas.openxmlformats.org/officeDocument/2006/docPropsVTypes"/>
</file>