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155"/>
        <w:gridCol w:w="1185"/>
        <w:gridCol w:w="1185"/>
        <w:tblGridChange w:id="0">
          <w:tblGrid>
            <w:gridCol w:w="610"/>
            <w:gridCol w:w="2143"/>
            <w:gridCol w:w="4155"/>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attiecināmajiem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vidējie ieņēmumi pēdējos divos noslēgtajos gados no lauksaimniecības produktu ražošanas un pārstrādes salīdzinājumā ar izmaksāto publisko finansējumu LAP 2007–2013 pasākumā "Lauksaimniecības produktu pievienotās vērtības radīšana" un Ministru kabineta 2014. gada 30. septembra noteikumu Nr. 600 "Kārtība, kādā piešķir valsts un Eiropas Savienības atbalstu atklātu projektu konkursu veidā pasākumam "Ieguldījumi materiālajos aktīvos"" (turpmāk – noteikumi Nr. 600) 1.2. apakšpunktā minētajā apakšpasākumā.</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saņemts,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(saskaņā ar noteikumu Nr. 600 11.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īstenots viens sasniedzamais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īstenoti divi vai vairāki sasniedzamie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kādas pārtikas kvalitātes shēmas operators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nacionālās pārtikas kvalitātes shēmas, bioloģiskās lauksaimniecības shēmas, aizsargātu ģeogrāfiskās izcelsmes norāžu, aizsargātu cilmes vietas nosaukumu shēmas vai garantētu tradicionālo īpatnību shēmas operators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attīstības indekss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būvniecības (arī iekārtu uzstādīšanas esošā būvē) īstenošanas vietas teritorijas attīstības indekss novadam vai republikas nozīmes pilsētai (ja tas ir negatīvs)</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uzņēmumam, ja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izmaksātais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(attiecībā uz zemnieku saimniecību – arī zemnieku saimniecības īpašnieka par sevi iemaksātās iemaksas) pēdējā noslēgtajā gadā iemaksātās valsts sociālās apdrošināšanas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VID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teritorijas attīstības indeksu;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teritorijas attīstības indekss novadā vai republikas nozīmes pilsētā, kurā tiks īstenots projekts (būvniecība, iekārtu uzstādīšana esošā būvē).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noteikumu_konsolidētā_versija_p3_24-TA-1555.docx</dc:title>
</cp:coreProperties>
</file>

<file path=docProps/custom.xml><?xml version="1.0" encoding="utf-8"?>
<Properties xmlns="http://schemas.openxmlformats.org/officeDocument/2006/custom-properties" xmlns:vt="http://schemas.openxmlformats.org/officeDocument/2006/docPropsVTypes"/>
</file>