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kooperatīvajām sabiedrībām pasākumā "Ieguldījumi materiālajos aktīvos"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155"/>
        <w:gridCol w:w="1377"/>
        <w:gridCol w:w="993"/>
        <w:tblGridChange w:id="0">
          <w:tblGrid>
            <w:gridCol w:w="610"/>
            <w:gridCol w:w="2143"/>
            <w:gridCol w:w="4155"/>
            <w:gridCol w:w="1377"/>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izmaksāto publisko finansējumu LAP 2007–2013 pasākumos "Lauku saimniecību modernizācija" un "Lauksaimniecības produktu pievienotās vērtības radīšana" un Ministru kabineta 2014. gada 30. septembra noteikumu Nr. 600 "Kārtība, kādā piešķir valsts un Eiropas Savienības atbalstu atklātu projektu konkursu veidā pasākumam "Ieguldījumi materiālajos aktīvos"" (turpmāk – noteikumi Nr. 600) 1.1. un 1.2. apakšpunktā minētajā apakšpasākumā.</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saņemts,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(saskaņā ar noteikumu Nr. 600 11.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īstenots viens sasniedzamais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īstenoti divi vai vairāki sasniedzamie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sertificēts kooperatīvs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attīstības indekss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būvniecības (arī iekārtu uzstādīšanas esošā būvē) īstenošanas vietas teritorijas attīstības indekss novadam (ja tas ir negatīvs)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izmaksātais publiskais finansējums LAP 2007–2013 pasākumā "Lauksaimniecības produktu pievienotās vērtības radīšana" un "Lauku saimniecību modernizācija".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teritorijas attīstības indeksu;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teritorijas attīstības indekss novadā, kurā tiks īstenots projekts (būvniecība, iekārtu uzstādīšana esošā būvē).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noteikumu_konsolidētā_versija_p4_24-TA-1555.docx</dc:title>
</cp:coreProperties>
</file>

<file path=docProps/custom.xml><?xml version="1.0" encoding="utf-8"?>
<Properties xmlns="http://schemas.openxmlformats.org/officeDocument/2006/custom-properties" xmlns:vt="http://schemas.openxmlformats.org/officeDocument/2006/docPropsVTypes"/>
</file>