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lauksaimniecības un mežsaimniecības infrastruktūras attīstībā"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059"/>
        <w:gridCol w:w="1472"/>
        <w:gridCol w:w="993"/>
        <w:tblGridChange w:id="0">
          <w:tblGrid>
            <w:gridCol w:w="610"/>
            <w:gridCol w:w="2143"/>
            <w:gridCol w:w="4059"/>
            <w:gridCol w:w="1472"/>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būvniecības 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laukumu un pievedceļu būvniecībai un pārbūvei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īstenots kopprojekts, kurā notiek meliorācijas sistēmu pārbūve vai atjaunošana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vairāk nekā piecu īpašnieku meliorācijas sistēmām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piecu īpašnieku meliorācijas sistēmām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izmantoti videi draudzīgas meliorācijas sistēmas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posmu ar meandriem, sedimentācijas dīķu, divpakāpju meliorācijas grāvju vai akmeņu krāvumu izveidi, kontrolētās drenāžas akas un mākslīgos mitrājus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pašvaldība (arī pašvaldības kapitālsabiedrība), kas pārbūvēs vai atjaunos pašvaldības īpašumā esošu meliorācijas sistēmu un hidrotehniskās būves lauksaimniecības vai meža zemē un pārbūvēs vai atjaunos pašvaldības nozīmes koplietošanas meliorācijas sistēmu lauksaimniecības vai meža 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lauksaimniecības un mežsaimniecības infrastruktūras attīstībā"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150 001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noteikumu_konsolidētā_versija_p5_24-TA-1555.docx</dc:title>
</cp:coreProperties>
</file>

<file path=docProps/custom.xml><?xml version="1.0" encoding="utf-8"?>
<Properties xmlns="http://schemas.openxmlformats.org/officeDocument/2006/custom-properties" xmlns:vt="http://schemas.openxmlformats.org/officeDocument/2006/docPropsVTypes"/>
</file>