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intensitāte</w:t>
      </w:r>
      <w:r>
        <w:br/>
      </w:r>
      <w:r w:rsidR="00000000" w:rsidRPr="00000000" w:rsidDel="00000000">
        <w:rPr>
          <w:rStyle w:val="paragraph_header"/>
          <w:b w:val="1"/>
          <w:rtl w:val="0"/>
        </w:rPr>
        <w:t xml:space="preserve">(procentos no projekta attiecināmajiem izdevumiem)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389"/>
        <w:gridCol w:w="5497"/>
        <w:gridCol w:w="5497"/>
        <w:gridCol w:w="5497"/>
        <w:gridCol w:w="5497"/>
        <w:gridCol w:w="5497"/>
        <w:tblGridChange w:id="0">
          <w:tblGrid>
            <w:gridCol w:w="514"/>
            <w:gridCol w:w="3389"/>
            <w:gridCol w:w="5497"/>
            <w:gridCol w:w="5497"/>
            <w:gridCol w:w="5497"/>
            <w:gridCol w:w="5497"/>
            <w:gridCol w:w="549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Attiecināmo izmaksu veids</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Atbalsta pretendenta (t. sk. kooperatīvās sabiedrības) kopējais apgrozījums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w:t>
            </w:r>
            <w:r>
              <w:br/>
            </w:r>
            <w:r w:rsidR="00000000" w:rsidRPr="00000000" w:rsidDel="00000000">
              <w:rPr>
                <w:rtl w:val="0"/>
              </w:rPr>
              <w:t xml:space="preserve">70 000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70 001–</w:t>
            </w:r>
            <w:r>
              <w:br/>
            </w:r>
            <w:r w:rsidR="00000000" w:rsidRPr="00000000" w:rsidDel="00000000">
              <w:rPr>
                <w:rtl w:val="0"/>
              </w:rPr>
              <w:t xml:space="preserve">1 000 000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1 000 001–</w:t>
            </w:r>
            <w:r>
              <w:br/>
            </w:r>
            <w:r w:rsidR="00000000" w:rsidRPr="00000000" w:rsidDel="00000000">
              <w:rPr>
                <w:rtl w:val="0"/>
              </w:rPr>
              <w:t xml:space="preserve">50 000 000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vairāk par</w:t>
            </w:r>
            <w:r>
              <w:br/>
            </w:r>
            <w:r w:rsidR="00000000" w:rsidRPr="00000000" w:rsidDel="00000000">
              <w:rPr>
                <w:rtl w:val="0"/>
              </w:rPr>
              <w:t xml:space="preserve">50 000 001</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vertAlign w:val="superscript"/>
                <w:rtl w:val="0"/>
              </w:rPr>
              <w:t xml:space="preserve">I. Apakšpasākums "Atbalsts ieguldījumiem lauku saimniecībās"2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ilggadīgo stādījumu ierīkošana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jaunajiem lauksaimniekiem, veicot būvniecību, pārbūvi vai stacionāro iekārtu iegādi kopā ar būvniecību vai pārbūvi vai ierīkojot ilggadīgos stādījumus. Papildu atbalsta intensitāti nepiemēro kopprojekta dalībniekiem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lopkopības nozarē, kurā audzē zālēdājus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Ministru kabineta 2014. gada 30. septembra noteikumu Nr. 600 "Kārtība, kādā piešķir valsts un Eiropas Savienības atbalstu atklātu projektu konkursu veidā pasākumam "Ieguldījumi materiālajos aktīvos"" (turpmāk – noteikumi Nr. 600) 11.2.2.1. apakšpunktā minētajām investīcijām un amonjaka emisiju samazināšanai lauksaimniecības dzīvnieku novietnēs (piespiedu ventilācijas sistēmas izveidošanai vai pārbūvei)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būvei un iekārtām, kas nodrošina noteikumu Nr. 600 11.2.1. apakšpunktā minētā mērķa sasniegšanu, ja projekts tiek īstenots noteikumu Nr. 600 11.2.1. apakšpunktā minētā mērķa sasniegšanai (projekta rezultātā energoefektivitāte palielinās vismaz par 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biodrošības pasākumos, ja projektu īsteno cūkkopības un putnkopības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jaunajiem lauksaimniekiem, ja investīcijas iegulda pamatlīdzekļu iegādei bez būvniecības vai pārbūves. Papildu atbalsta intensitāti nepiemēro kopprojekta dalībniekiem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projektā paredzētajai graudu kaltei izmanto atjaunojamos energoresursus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investīcijām, kas nodrošina noteikumu Nr. 600 11.2.2.3. un 11.2.2.4. apakšpunktā minētā mērķa sasniegšanu, un meteostaciju izveidošanai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stādījumu iegādei, ierīkošanai, būvēm un tehnikai, ja projektu īsteno augļu, ogu, dārzeņu, augļu koku un ogulāju audzēšanas nozarē, un graudaugu novākšanas kombaina iegādei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Saimniecībā pirmā lauksaimniecībā izmantojamā traktora iegāde, ja visi pārējie Eiropas Savienības finansētajā projektā iegādātie traktori ir vecāki par 10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 traktora iegāde, ja pretendents nav saņēmis finansējumu un uzņēmies saistības jauna traktora iegādei LAP 2014–2020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Piekabju, agregātu, traktortehnikas (izņemot lauksaimniecībā izmantojamus traktorus), iekārtu un graudu kombainu iegāde (ja pretendents nav saņēmis finansējumu un uzņēmies saistības graudu kombaina iegādei LAP 2014–2020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stacionāro iekārtu iegāde kopā ar būvniecību vai pārbūvi un specializētā transporta iegāde kooperatīviem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Piekabju, agregātu, traktortehnikas (izņemot lauksaimniecībā izmantojamus traktorus) un iekārtu iegāde kooperatīvajām sabiedrībām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vertAlign w:val="superscript"/>
                <w:rtl w:val="0"/>
              </w:rPr>
              <w:t xml:space="preserve">II. Apakšpasākums "Atbalsts ieguldījumiem pārstrādē"3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un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pārstrādes uzņēmumiem, kas ražo pārtikas kvalitātes shēmas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atbalsta pretendents ražo vismaz piecus pārtikas produktus, kas atbilst ieteicamo pārtikas produktu izvēles kritērijiem (saskaņā ar noteikumu Nr. 600 10. pielikumu)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uzņēmuma restrukturizācijai, ja to skāruši citu valstu noteiktie importa ierobežojumi (eksports uz konkrēto valsti veidojis vismaz 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noteikumu Nr. 600 11.2.1. apakšpunktā minētā mērķa sasniegšanai (projekta īstenošanas rezultātā energoefektivitāte palielinās vismaz par 20 %)</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projekta īstenošanas rezultātā tiek ieviesta inovācija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projekta īstenošanas rezultātā pārstrādei (tostarp kooperatīvajām sabiedrībām) vismaz 90 % apmērā tiek izmantota atbalsta pretendenta saražotā izejviela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Ražotājiem, kas ražo mājas apstākļos</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r w:rsidR="00000000" w:rsidRPr="00000000" w:rsidDel="00000000">
              <w:rPr>
                <w:vertAlign w:val="superscript"/>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Apakšpasākums "Atbalsts ieguldījumiem lauksaimniecības un mežsaimniecības infrastruktūras attīstībā"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600 12. pielikumā minēto videi draudzīgu meliorācijas sistēmu ierīkošana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vai atjaunošana kopprojektos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meliorācijas sistēmas un hidrotehniskās būves un pašvaldības nozīmes koplietošanas meliorācijas sistēmas pārbūve un atjaunošana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valsts nozīmes sistēmās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pievedceļi u. tml. infrastruktūra kooperatīvajām sabiedrībām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pievedceļi u. tml. infrastruktūra lauku saimniecībām, tostarp jaunajiem lauksaimniekiem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Jauna pārstrādes uzņēmuma vai lauku saimniecības dibināšana.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Maksimālā atbalsta intensitāte apakšpasākumā nepārsniedz 50 %. Ja projektu īsteno jaunie lauksaimnieki vai ja projektu īsteno apgabalā, kurā ir dabas un citi specifiski ierobežojumi, un projektā plāno sasniegt noteikumu Nr. 600 11.2.2.1. apakšpunktā minēto mērķi, kā arī ja projektu īsteno amonjaka emisiju samazināšanai lauksaimniecības dzīvnieku novietnēs (piespiedu ventilācijas sistēmas izveidošanai vai pārbūvei), atbalsta intensitāte nepārsniedz 70 %. Jaunajiem lauksaimniekiem papildu atbalsta intensitāte tiek piemērota līdz 400 000 </w:t>
      </w:r>
      <w:r w:rsidR="00000000" w:rsidRPr="00000000" w:rsidDel="00000000">
        <w:rPr>
          <w:i w:val="1"/>
          <w:rtl w:val="0"/>
        </w:rPr>
        <w:t xml:space="preserve">euro</w:t>
      </w:r>
      <w:r w:rsidR="00000000" w:rsidRPr="00000000" w:rsidDel="00000000">
        <w:rPr>
          <w:rtl w:val="0"/>
        </w:rPr>
        <w:t xml:space="preserve"> attiecināmajām izmaksām. Atbalsta intensitāte valsts zinātniskajām institūcijām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Maksimālā atbalsta intensitāte apakšpasākumā nepārsniedz 50 %. Pretendentiem, kuru projekta īstenošanā iegūtais gala produkts nav minēts Līguma par Eiropas Savienības darbību I pielikumā, atbalsta intensitāte nepārsniedz 40 %, bet lielajiem komersantiem – 35 %.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Lielāku atbalsta intensitāti nevar iegūt atbalsta pretendenti, kuriem projekta īstenošanas rezultātā iegūtais gala produkts ir minēts noteikumu Nr. 600 27.2.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Netiek piemērota lielāka atbalsta intensitāte.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Uzņēmumiem ar apgrozījumu līdz 200 000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noteikumu_konsolidētā_versija_p7_24-TA-1555.docx</dc:title>
</cp:coreProperties>
</file>

<file path=docProps/custom.xml><?xml version="1.0" encoding="utf-8"?>
<Properties xmlns="http://schemas.openxmlformats.org/officeDocument/2006/custom-properties" xmlns:vt="http://schemas.openxmlformats.org/officeDocument/2006/docPropsVTypes"/>
</file>