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2008. gada 4. augusta noteikumos Nr. 618 "Noteikumi par mantojuma reģistra un mantojuma lietu vešanu"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Notariāta likuma</w:t>
      </w:r>
      <w:r w:rsidR="00000000" w:rsidRPr="00000000" w:rsidDel="00000000">
        <w:rPr>
          <w:rStyle w:val="paragraph"/>
          <w:i w:val="1"/>
          <w:rtl w:val="0"/>
        </w:rPr>
        <w:t xml:space="preserve"> 64.pantu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2008. gada 4. augusta noteikumos Nr. 618 "Noteikumi par mantojuma reģistra un mantojuma lietu vešanu" (Latvijas Vēstnesis, 2008, 130. nr.; 2013, 233. nr.; 2014, 122. nr.; 2023, 187.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Latvijas Zvērinātu notāru padome ne vēlāk kā nākamajā darbdienā pēc mantojuma atklāšanās izsludināšanas oficiālajā izdevumā "Latvijas Vēstnesis" papildina šo noteikumu 4.7. apakšpunktā minēto aili ar attiecīgā izdevuma numuru, publicēšanas gadu, mēnesi un dienu.";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Notariāta likuma 312. un 281. pantā minēto dokumentu oriģinālus (izņemot miršanas apliecību, dzimšanas apliecību un laulības apliecību) vai kopijas, kas apliecinātas notariāli vai lietvedības kārtībā, vai izdrukas no Fizisko personu reģistra, kas iegūtas Notariāta likuma 253.</w:t>
      </w:r>
      <w:r w:rsidR="00000000" w:rsidRPr="00000000" w:rsidDel="00000000">
        <w:rPr>
          <w:vertAlign w:val="superscript"/>
          <w:rtl w:val="0"/>
        </w:rPr>
        <w:t xml:space="preserve">1</w:t>
      </w:r>
      <w:r w:rsidR="00000000" w:rsidRPr="00000000" w:rsidDel="00000000">
        <w:rPr>
          <w:rtl w:val="0"/>
        </w:rPr>
        <w:t xml:space="preserve"> pantā noteiktajā kārtībā, uz kurām norādīts gads, mēnesis un diena, kad attiecīgā izdruka veikta;";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Elektroniski parakstītus paziņojumus mantojuma lietā zvērināts notārs nosūta uz personas oficiālo elektronisko adresi, ja tā ir aktivizēta, par to pārliecinoties oficiālo elektronisko adrešu informācijas sistēmā. Ja personai nav aktivizēts elektroniskās adreses konts, zvērināts notārs nosūta rakstisku paziņojumu uz fiziskās personas Fizisko personu reģistrā deklarēto, reģistrēto vai personas norādīto dzīvesvietas adresi, kā arī papildadresi, bet juridiskai personai – uz komercreģistrā reģistrēto adresi. Saskaņā ar Notariāta likuma 259.</w:t>
      </w:r>
      <w:r w:rsidR="00000000" w:rsidRPr="00000000" w:rsidDel="00000000">
        <w:rPr>
          <w:vertAlign w:val="superscript"/>
          <w:rtl w:val="0"/>
        </w:rPr>
        <w:t xml:space="preserve">1</w:t>
      </w:r>
      <w:r w:rsidR="00000000" w:rsidRPr="00000000" w:rsidDel="00000000">
        <w:rPr>
          <w:rtl w:val="0"/>
        </w:rPr>
        <w:t xml:space="preserve"> panta 2. punktu informāciju par mantojuma atklāšanās izsludināšanu zvērināts notārs mantot aicinātajiem paziņo gan uz oficiālo elektronisko adresi, gan arī nosūta vēstuli uz Fizisko personu reģistrā deklarēto, reģistrēto vai personas norādīto dzīvesvietas adresi, kā arī papildadresi un citu mantojuma lietā zināmo adresi. Mantot aicinātajiem, kas nav reģistrēti Fizisko personu reģistrā, paziņojumu nosūta uz adresi, kura iesniegta mantojuma lietā.";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Ziņas par mantot aicinātajiem, kuriem nosūtāms paziņojums par mantojuma atklāšanās izsludināšanu, zvērināts notārs saņem gan no mantojuma lietā iesniegtās informācijas, gan ierakstiem Fizisko personu reģistrā. Zvērināts notārs noskaidro mantot aicinātos līdz trešajai šķirai (ieskaitot) un nosūta tiem paziņojumus šo noteikumu 14. punktā noteiktajā kārtībā. Ja iesniegumu par mantojuma pieņemšanu jau ir iesnieguši tuvāki mantinieki, tālākiem mantiniekiem zvērināts notārs Notariāta likuma 259.</w:t>
      </w:r>
      <w:r w:rsidR="00000000" w:rsidRPr="00000000" w:rsidDel="00000000">
        <w:rPr>
          <w:vertAlign w:val="superscript"/>
          <w:rtl w:val="0"/>
        </w:rPr>
        <w:t xml:space="preserve">1</w:t>
      </w:r>
      <w:r w:rsidR="00000000" w:rsidRPr="00000000" w:rsidDel="00000000">
        <w:rPr>
          <w:rtl w:val="0"/>
        </w:rPr>
        <w:t xml:space="preserve"> pantā noteikto paziņojumu nesūta. Ja iesniegumu par mantojuma pieņemšanu iesniedzis testamentārais vai līgumiskais mantinieks, Notariāta likuma 259.</w:t>
      </w:r>
      <w:r w:rsidR="00000000" w:rsidRPr="00000000" w:rsidDel="00000000">
        <w:rPr>
          <w:vertAlign w:val="superscript"/>
          <w:rtl w:val="0"/>
        </w:rPr>
        <w:t xml:space="preserve">1</w:t>
      </w:r>
      <w:r w:rsidR="00000000" w:rsidRPr="00000000" w:rsidDel="00000000">
        <w:rPr>
          <w:rtl w:val="0"/>
        </w:rPr>
        <w:t xml:space="preserve"> panta 2. punkta prasības ir izpildītas, ja zvērināts notārs ir nosūtījis paziņojumu visām pēdējās gribas rīkojumā minētajām personām, neatņemamās daļas tiesīgajiem un Civillikuma 637. pantā noteiktajiem mantiniekiem.";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Notārs nosaka mantojuma atstājēja un mantinieka radniecību, pamatojoties uz Fizisko personu reģistrā iekļautajām ziņām vai dzimtsarakstu iestādes izsniegtu dzimšanas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Mantojuma atstājēja pēdējo deklarēto dzīvesvietu apliecina valsts vai pašvaldības iestādes izziņa vai izdruka no Notāru informācijas sistēmas, kas satur Fizisko personu reģistra datus. Mantinieka dzīvesvietu mantojuma atklāšanās brīdī apliecina pašvaldības iestādes izziņa vai izdruka no Notāru informācijas sistēmas, kas satur Fizisko personu reģistra datus, vai tiesas nolēmums par juridiskā fakta konstatēšanu. Mantojuma atstājēja pastāvīgo dzīvesvietu nāves brīdī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 un 24. apsvērumu. Zvērināts notārs ir tiesīgs pieprasīt faktus apliecinošus dokumentus, kā arī uzklausīt personu paziņojumus.";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VI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Iesniegumu par pārdzīvojušā laulātā daļas izdalīšanu (Notariāta likuma 260. pants) zvērināts notārs pieņem tikai no pārdzīvojušā laulātā. Ja pārdzīvojušais laulātais ir miris, neiesniedzot minēto iesniegumu, viņa mantinieki pārdzīvojušā laulātā daļu mantojuma atstājēja mantā mantojuma lietā izprasīt nevar. Mantojuma atstājēja laulātā daļas izdalīšana no pārdzīvojušā laulātā mantas zvērināta notāra lietvedībā esošajā mantojuma lietā nenotiek.";</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Zvērināts notārs no iesniegtajiem dokumentiem un ierakstiem zemesgrāmatā un laulāto mantisko attiecību reģistrā pārliecinās, ka manta, no kuras prasa izdalīt pārdzīvojušā laulātā daļu, ir iegūta laulības laikā un ka nekas acīmredzami nenorāda uz to, ka manta ir mirušā laulātā atsevišķa manta.";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Ja mantojumu pieņēmušajiem mantiniekiem ir iebildumi pret pārdzīvojušā laulātā mantas daļas izdalīšanu, zvērināts notārs veic darbības, lai tuvinātu pušu viedokļus. Zvērināts notārs noskaidro mantojumu pieņēmušo mantinieku un pārdzīvojušā laulātā viedokļus, kā arī rakstiski uzaicina minētās personas ierasties viņa prakses vietā un izsaka priekšlikumus viedokļu tuvināšanai. Izvērtējot, vai pārdzīvojušajam laulātajam izsniedzama apliecība par laulātā mantas daļu, zvērināts notārs ņem vērā tikai to mantinieku iebildumus, kas līdz apliecības taisīšanai pierādījuši savas tiesības mantot.";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svītrot 47.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49.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Zvērināts notārs, kuram nolasīšanai iesniegts pēdējās gribas rīkojuma akts, pārliecinās par testatora nāvi un uzsāk mantojuma lietu. Par mantojuma lietas uzsākšanu zvērināts notārs rakstiski paziņo visiem viņam zināmajiem mantiniekiem un Notariāta likuma 270. pantā noteiktajā kārtībā izsludina pēdējās gribas rīkojuma akta nolasīšanas dienu.";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50.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 Zvērināts notārs, uzsākot mantojuma lietu, pārliecinās publisko testamentu reģistrā, vai tajā ir reģistrēts mantojuma atstājēja pēdējās gribas rīkojuma akts, un pieprasa akta izsniegšanu. Zvērināts notārs, kura rīcībā ir kāds no Notariāta likuma 249.</w:t>
      </w:r>
      <w:r w:rsidR="00000000" w:rsidRPr="00000000" w:rsidDel="00000000">
        <w:rPr>
          <w:vertAlign w:val="superscript"/>
          <w:rtl w:val="0"/>
        </w:rPr>
        <w:t xml:space="preserve">2</w:t>
      </w:r>
      <w:r w:rsidR="00000000" w:rsidRPr="00000000" w:rsidDel="00000000">
        <w:rPr>
          <w:rtl w:val="0"/>
        </w:rPr>
        <w:t xml:space="preserve"> panta 2. punktā minētajiem pēdējās gribas rīkojuma aktiem, izsniedz to pēc pieprasījuma zvērinātam notāram, kurš ved mantojuma lietu. Pēc tam kad zvērināts notārs, kura glabājumā nodots pēdējās gribas rīkojuma akts, ir saņēmis tā zvērināta notāra pieprasījumu, kura lietvedībā ir mantojuma lieta, tas nolasa glabājumā nodoto pēdējās gribas rīkojuma aktu un tā oriģinālu kopā ar apliecību par akta nolasīšanu iesniedz mantojuma lietā.";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Noteiktajā dienā zvērināts notārs, ievērojot Notariāta likuma 272. panta noteikumus, atver un nolasa pēdējās gribas rīkojuma aktu. Zvērināts notārs nolasa visus mantojuma lietā iesniegtos pēdējās gribas rīkojumus, arī tos, par kuriem mantojuma lietā ir ziņas, ka tie ir atcelti vai spēku zaudējuši.";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71.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Zvērināts notārs iesniegumu par mantojuma apsardzību pieņem no personām, kas noteiktas Notariāta likuma 289. un 290. pantā. Minēto iesniegumu apliecina Notariāta likuma 254. pantā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papildināt ar 73.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vertAlign w:val="superscript"/>
          <w:rtl w:val="0"/>
        </w:rPr>
        <w:t xml:space="preserve">1</w:t>
      </w:r>
      <w:r w:rsidR="00000000" w:rsidRPr="00000000" w:rsidDel="00000000">
        <w:rPr>
          <w:rtl w:val="0"/>
        </w:rPr>
        <w:t xml:space="preserve"> No mantojuma aizgādņa saņemto galīgo norēķinu zvērināts notārs pievieno mantojuma lietai.";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74.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Tiklīdz uzsākta mantojuma lieta, zvērināts notārs izsludina mantojuma atklāšanos oficiālajā izdevumā "Latvijas Vēstnesis".";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75.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Šo noteikumu 74. punktā minētajā sludinājumā zvērināts notārs aicina pieteikties iespējamos mantiniekus un citas ieinteresētās personas, norādot uzaicinājuma termiņus saskaņā ar Notariāta likuma 297.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svītrot 76.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svītrot 78.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izteikt 85.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 Zvērināts notārs šo noteikumu 84. punktā minēto pretenziju pamatotību nepārbauda.";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izteikt 86.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 Kreditoriem, kas iesnieguši pretenzijas mantojuma lietā, un kreditoriem, par kuriem ziņas mantojuma lietā iekļāvis zvērināts notārs, zvērināts notārs izsniedz Notariāta likuma 259.</w:t>
      </w:r>
      <w:r w:rsidR="00000000" w:rsidRPr="00000000" w:rsidDel="00000000">
        <w:rPr>
          <w:vertAlign w:val="superscript"/>
          <w:rtl w:val="0"/>
        </w:rPr>
        <w:t xml:space="preserve">3</w:t>
      </w:r>
      <w:r w:rsidR="00000000" w:rsidRPr="00000000" w:rsidDel="00000000">
        <w:rPr>
          <w:rtl w:val="0"/>
        </w:rPr>
        <w:t xml:space="preserve"> pantā noteiktās ziņas. Ja ziņu apjoms mantojuma apliecībā nepārsniedz Notariāta likuma 259.</w:t>
      </w:r>
      <w:r w:rsidR="00000000" w:rsidRPr="00000000" w:rsidDel="00000000">
        <w:rPr>
          <w:vertAlign w:val="superscript"/>
          <w:rtl w:val="0"/>
        </w:rPr>
        <w:t xml:space="preserve">3</w:t>
      </w:r>
      <w:r w:rsidR="00000000" w:rsidRPr="00000000" w:rsidDel="00000000">
        <w:rPr>
          <w:rtl w:val="0"/>
        </w:rPr>
        <w:t xml:space="preserve"> pantā noteikto apjomu, zvērināts notārs var izsniegt kreditoram mantojuma apliecības kopiju. Legatāriem, kas minēti aktā, ar kuru pēdējās gribas rīkojuma akts atzīts par spēkā stājušos, pēc viņu pieprasījuma izsniedz izrakstu no notariālo aktu grāmatas (aktu par pēdējās gribas rīkojuma spēkā stāšanos). Ja lietvedība mantojuma lietā izbeigta Notariāta likuma 306. pantā noteiktajā kārtībā, zvērināts notārs nosūta akta kopiju par mantojuma lietas izbeigšanu kreditoriem, kas iesnieguši pretenzijas mantojuma lietā, kreditoriem, par kuriem ziņas mantojuma lietā iekļāvis zvērināts notārs, un personai, pēc kuras iesnieguma mantojuma lieta uzsākta.";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papildināt ar 86.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Zvērināts notārs izvērtē, vai saņemtā kreditora pretenzija satur visas Notariāta likuma 297.</w:t>
      </w:r>
      <w:r w:rsidR="00000000" w:rsidRPr="00000000" w:rsidDel="00000000">
        <w:rPr>
          <w:vertAlign w:val="superscript"/>
          <w:rtl w:val="0"/>
        </w:rPr>
        <w:t xml:space="preserve">1</w:t>
      </w:r>
      <w:r w:rsidR="00000000" w:rsidRPr="00000000" w:rsidDel="00000000">
        <w:rPr>
          <w:rtl w:val="0"/>
        </w:rPr>
        <w:t xml:space="preserve"> panta pirmajā daļā noteiktās ziņas, ja nepieciešams, nosakot saprātīgu termiņu trūkumu novēršanai. Ja kreditors trūkumus nenovērš, uzskatāms, ka pretenzija nav iesniegta termiņā, tā ir dzēšama un nav norādāma mantojuma apliecībā. Kreditora iesniegumu pievieno mantojuma lietai.";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papildināt ar 86.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Zvērināts notārs pārbauda ierakstus zemesgrāmatā un komercķīlu reģistrā, lai noskaidrotu iespējamos mantojuma atstājēja nodrošinātos kreditorus, kā arī kreditorus, kuru prasījumus mantojuma atstājējs ir nodrošinājis ar savu mantu. Ja šādi kreditori tiek konstatēti, zvērināts notārs Latvijas Bankas kredītu reģistrā noskaidro, vai viņi ir kredītu reģistra dalībnieki, un, ja ir, – noskaidro tur reģistrēto prasījuma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svītrot 87.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izteikt 88.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 Ja kāds no mantiniekiem vai kreditoriem pieprasa zvērināta tiesu izpildītāja sastādītu mantojuma sarakstu, zvērināts notārs izsniedz attiecīgu aicinājumu, kā arī pēc zvērināta tiesu izpildītāja pieprasījuma ir tiesīgs tam izsniegt ziņas par mantojuma lietā noskaidroto mantu un tās 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izteikt 89.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 Ja mantinieks pirms gribas izteikšanas par mantojuma pieņemšanu vēlas iepazīties ar mantojuma sastāvu, mantojuma lietu uzsāk, pamatojoties uz mantinieka iesniegumu par izsludināšanu vai uz kādu citu Notariāta likuma 251. pantā minēto mantošanas iesniegumu.";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svītrot XIV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svītrot XV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papildināt ar 99.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w:t>
      </w:r>
      <w:r w:rsidR="00000000" w:rsidRPr="00000000" w:rsidDel="00000000">
        <w:rPr>
          <w:rtl w:val="0"/>
        </w:rPr>
        <w:t xml:space="preserve"> Zvērināts notārs apstiprina mantiniekus mantojuma tiesībās arī tad, ja nav konstatēta mantojuma atstājējam piederoša manta, bet mantinieks lūdzis mantojuma apliecības izsniegšanu.";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izteikt 105.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Ja mantinieki nevar vai nevēlas kopīgi ierasties pēc mantojuma apliecības par pēdējās gribas rīkojuma akta spēkā stāšanos, viņi par to informē zvērinātu notāru. Šādā gadījumā zvērināts notārs izsniedz apliecības, ar kurām pēdējās gribas rīkojuma aktu atzīst par spēkā stājušos daļā. Pēdējās gribas rīkojuma akta oriģināls ar zvērināta notāra atzīmēm par spēkā stāšanos daļā glabājas mantojuma lietā līdz brīdim, kamēr tiek izsniegta pēdējā apliecība par pēdējās gribas rīkojuma akta atzīšanu par spēkā stājušos daļā, bet visām iepriekš izsniegtajām apliecībām par pēdējās gribas rīkojuma akta atzīšanu par spēkā stājušos daļā tiek pievienotas pēdējās gribas rīkojuma akta kopijas. Ja mantojuma lietā iesniegts elektroniski apliecināts pēdējās gribas rīkojums, mantojuma apliecība taisāma elektroniskā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svītrot 109.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izteikt 112.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Dalāmā mantojuma masu un vērtību nosaka mantinieki, ņemot vērā Civillikuma 729. un 730. panta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izteikt 116.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 Ja mantojums ir atklājies līdz 1992. gada 31. augustam un mantinieki mantojumu ir pieņēmuši, iesniedzot attiecīgu iesniegumu valsts notariāta kantorī, bet nav saņēmuši apliecību par tiesībām uz mantojumu pēc likuma vai testamenta vai arī nepieciešama tās papildināšana, zvērināts notārs pieņem no mantiniekiem iesniegumu par lietvedības atjaunošanu mantojuma lietā un rakstiski pieprasa no valsts arhīva mantojuma lietas kopiju."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ministres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24-TA-2547</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24-TA-2547</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noteikumu_(grozījumu)_projekts_24-TA-2547.docx</dc:title>
</cp:coreProperties>
</file>

<file path=docProps/custom.xml><?xml version="1.0" encoding="utf-8"?>
<Properties xmlns="http://schemas.openxmlformats.org/officeDocument/2006/custom-properties" xmlns:vt="http://schemas.openxmlformats.org/officeDocument/2006/docPropsVTypes"/>
</file>