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atšķirīgu dividendēs izmaksājamo akciju sabiedrības "Latvenergo" peļņas daļu"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akciju sabiedrība "Latvenergo" ieskaita valsts pamatbudžeta ieņēmumos dividenžu maksājumus 2026. - 2028. gadā (par 2025. - 2027. pārskata gadu)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2026. gadā (par 2025. pārskata gadu) 70 procentu apmērā no pārskata gada peļņas, nodrošinot, ka dividendēs izmaksājamā daļa 2026. gadā (par 2025. pārskata gadu) ir ne mazāka kā 141 071 694 </w:t>
      </w:r>
      <w:r w:rsidR="00000000" w:rsidRPr="00000000" w:rsidDel="00000000">
        <w:rPr>
          <w:i w:val="1"/>
          <w:rtl w:val="0"/>
        </w:rPr>
        <w:t xml:space="preserve">euro</w:t>
      </w:r>
      <w:r w:rsidR="00000000" w:rsidRPr="00000000" w:rsidDel="00000000">
        <w:rPr>
          <w:rtl w:val="0"/>
        </w:rPr>
        <w:t xml:space="preserve">, uzņēmumu ienākuma nodokli aprēķinot un nomaksājot uzņēmumu ienākuma nodokli regulējošos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2027. - 2028. gadā (par 2026. - 2027. pārskata gadu) 80 procentu apmērā no attiecīga pārskata gada peļņas, nodrošinot, ka dividendēs izmaksājamā daļa 2027. gadā (par 2026. pārskata gadu) ir ne mazāka kā 144 000 000 </w:t>
      </w:r>
      <w:r w:rsidR="00000000" w:rsidRPr="00000000" w:rsidDel="00000000">
        <w:rPr>
          <w:i w:val="1"/>
          <w:rtl w:val="0"/>
        </w:rPr>
        <w:t xml:space="preserve">euro</w:t>
      </w:r>
      <w:r w:rsidR="00000000" w:rsidRPr="00000000" w:rsidDel="00000000">
        <w:rPr>
          <w:rtl w:val="0"/>
        </w:rPr>
        <w:t xml:space="preserve"> un 2028. gadā (par 2027. pārskata gadu) ir ne mazāka kā 122 000 000 </w:t>
      </w:r>
      <w:r w:rsidR="00000000" w:rsidRPr="00000000" w:rsidDel="00000000">
        <w:rPr>
          <w:i w:val="1"/>
          <w:rtl w:val="0"/>
        </w:rPr>
        <w:t xml:space="preserve">euro</w:t>
      </w:r>
      <w:r w:rsidR="00000000" w:rsidRPr="00000000" w:rsidDel="00000000">
        <w:rPr>
          <w:rtl w:val="0"/>
        </w:rPr>
        <w:t xml:space="preserve">, uzņēmumu ienākuma nodokli aprēķinot un nomaksājot uzņēmumu ienākuma nodokli regulējošos normatīvajos aktos noteiktajā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akciju sabiedrība "Latvenergo" ieskaita valsts pamatbudžeta ieņēmumos dividenžu maksājumus 2029. - 2031. gadā (par 2028. - 2030. pārskata gadu) 35 procentu apmērā no 2028. - 2030. attiecīga pārskata gada peļņas, nodrošinot, ka dividendēs izmaksājamā daļa 2029. – 2031. gadā (par 2028. – 2030. pārskata gadu) ir ne mazāka kā 65 000 000 </w:t>
      </w:r>
      <w:r w:rsidR="00000000" w:rsidRPr="00000000" w:rsidDel="00000000">
        <w:rPr>
          <w:i w:val="1"/>
          <w:rtl w:val="0"/>
        </w:rPr>
        <w:t xml:space="preserve">euro</w:t>
      </w:r>
      <w:r w:rsidR="00000000" w:rsidRPr="00000000" w:rsidDel="00000000">
        <w:rPr>
          <w:rtl w:val="0"/>
        </w:rPr>
        <w:t xml:space="preserve"> katru attiecīgo gadu, uzņēmumu ienākuma nodokli aprēķinot un nomaksājot uzņēmumu ienākuma nodokli regulējošos normatīvajos aktos noteiktajā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akciju sabiedrības "Latvenergo" atlikusī peļņas daļa par 2025. – 2030. pārskata gadu tiek novirzīta plānotajām investīcijām atbilstoši koncerna investīciju plāna un vidēja termiņa darbības stratēģijas mērķu izpildei.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valsts pamatbudžeta ieņēmumi no akciju sabiedrības "Latvenergo" dividenžu maksājumiem 2027. - 2028. gadā (par 2026. - 2027. pārskata gadu) ir pārskatāmi proporcionāli akciju sabiedrības "Latvenergo" investīciju projektu īstenošanas rezultātā radītajiem papildus nodokļu ieņēmumiem valsts budžetā, attiecīgi samazinot akciju sabiedrības "Latvenergo" dividendēs izmaksājamo peļņas daļu, ar nosacījumu, ka minimālā akciju sabiedrības "Latvenergo" peļņas daļa, kas izmaksājama dividendēs, ir ne mazāka kā 70 procenti no akciju sabiedrības "Latvenergo" attiecīga pārskata gada peļņas.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25-TA-2112</w:t>
    </w:r>
    <w:r>
      <w:br/>
    </w:r>
    <w:r w:rsidR="00000000" w:rsidRPr="00000000" w:rsidDel="00000000">
      <w:rPr>
        <w:rtl w:val="0"/>
      </w:rPr>
      <w:t xml:space="preserve">Izdrukāts 29.07.2026. 22.11 - 2.0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mk_sēdes_protokollēmuma_projekts_25-TA-2112.docx</dc:title>
</cp:coreProperties>
</file>

<file path=docProps/custom.xml><?xml version="1.0" encoding="utf-8"?>
<Properties xmlns="http://schemas.openxmlformats.org/officeDocument/2006/custom-properties" xmlns:vt="http://schemas.openxmlformats.org/officeDocument/2006/docPropsVTypes"/>
</file>