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2. marta rīkojumā Nr. 117 "Par 2.1.1.1.i. investīcijas projekta "IKT vienota pārvaldība un digitālie risinājumi kultūras nozares institūcijām"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"IKT vienota pārvaldība un digitālie risinājumi kultūras nozares institūcijām" (turpmāk – projekts) īstenošanai finansējumu pievienotās vērtības nodokļa ne vairāk kā 440 412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projekta īstenošanas projekta uzturēšanas izdevumus nepārsniedzot 106 651</w:t>
      </w:r>
      <w:r w:rsidR="00000000" w:rsidRPr="00000000" w:rsidDel="00000000">
        <w:rPr>
          <w:i w:val="1"/>
          <w:rtl w:val="0"/>
        </w:rPr>
        <w:t xml:space="preserve"> euro</w:t>
      </w:r>
      <w:r w:rsidR="00000000" w:rsidRPr="00000000" w:rsidDel="00000000">
        <w:rPr>
          <w:rtl w:val="0"/>
        </w:rPr>
        <w:t xml:space="preserve"> segt no jau plānotā finansējuma tajās valsts budžeta iestādēs, kuras nodrošina esošo sistēmu programmatūras uzturēšanu. Ja tiek konstatēts, ka ir nepieciešams papildu finansējums projekta uzturēšanas izdevumu segšanai, Kultūras ministrijai normatīvajos aktos noteiktajā kārtībā sagatavot un iesniegt Finanšu ministrijā ekonomiski izvērtētu pieprasījumu papildu finansējumam.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25-TA-3116</w:t>
    </w:r>
    <w:r>
      <w:br/>
    </w:r>
    <w:r w:rsidR="00000000" w:rsidRPr="00000000" w:rsidDel="00000000">
      <w:rPr>
        <w:rtl w:val="0"/>
      </w:rPr>
      <w:t xml:space="preserve">Izdrukāts 29.07.2026. 23.25 - 2.0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mk_sēdes_protokollēmuma_projekts_25-TA-3116.docx</dc:title>
</cp:coreProperties>
</file>

<file path=docProps/custom.xml><?xml version="1.0" encoding="utf-8"?>
<Properties xmlns="http://schemas.openxmlformats.org/officeDocument/2006/custom-properties" xmlns:vt="http://schemas.openxmlformats.org/officeDocument/2006/docPropsVTypes"/>
</file>