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2013. gada 30. aprīļa noteikumos Nr. 240 "Vispārīgie teritorijas plānošanas, izmantošanas un apbūves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Teritorijas attīstības plānošanas likuma</w:t>
      </w:r>
      <w:r w:rsidR="00000000" w:rsidRPr="00000000" w:rsidDel="00000000">
        <w:rPr>
          <w:rStyle w:val="paragraph"/>
          <w:i w:val="1"/>
          <w:rtl w:val="0"/>
        </w:rPr>
        <w:t xml:space="preserve"> </w:t>
      </w:r>
      <w:r>
        <w:br/>
      </w:r>
      <w:r w:rsidR="00000000" w:rsidRPr="00000000" w:rsidDel="00000000">
        <w:rPr>
          <w:rStyle w:val="paragraph"/>
          <w:i w:val="1"/>
          <w:rtl w:val="0"/>
        </w:rPr>
        <w:t xml:space="preserve">7.panta pirmās daļas 6. un 7.punktu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2013. gada 30. aprīļa noteikumos Nr. 240 "Vispārīgie teritorijas plānošanas, izmantošanas un apbūves noteikumi" (Latvijas Vēstnesis, 2013, 96. nr.; 2019, 203. nr.; 2020, 200.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Plānojot jaunu apbūvi, teritorijas plānojumā, lokālplānojumā vai detālplānojumā var izvirzīt nosacījumus publiskiem mērķiem paredzētās teritorijas daļas, kas paredzēta publiskajai ārtelpai vai koplietošanas apstādījumiem (kas neietilpst ielu, ceļu un laukumu teritorijā), veidošanai un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Teritorijas plānojumos vai lokālplānojumos nosaka un detālplānojumos attēlo funkcionālās zonas, lai parādītu un nodalītu dažādu teritoriju atšķirīgās funkcijas un pazīmes, kā arī noteiktu atļautos izmantošanas veidus."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Teritorijas plānojumā, lokālplānojumā un detālplānojumā funkcionālajām zonām un teritorijām ar īpašiem noteikumiem izmanto šo noteikumu 1.</w:t>
      </w:r>
      <w:r w:rsidR="00000000" w:rsidRPr="00000000" w:rsidDel="00000000">
        <w:rPr>
          <w:vertAlign w:val="superscript"/>
          <w:rtl w:val="0"/>
        </w:rPr>
        <w:t xml:space="preserve">1 </w:t>
      </w:r>
      <w:r w:rsidR="00000000" w:rsidRPr="00000000" w:rsidDel="00000000">
        <w:rPr>
          <w:rtl w:val="0"/>
        </w:rPr>
        <w:t xml:space="preserve">pielikumā minētos apzīmējumus."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Atbilstoši konkrētajai situācijai un izvēlētajai detalizācijas pakāpei teritorijas plānojumā vai lokālplānojumā katrai funkcionālajai zonai var noteikt apakšzonas, pievienojot funkcionālās zonas apzīmējuma burtiem ciparu indeksu. Katrai zonai un apakšzonai attiecīgi teritorijas plānojuma vai lokālplānojuma apbūves noteikumos nosaka atļautos izmantošanas veidus atbilstoši šo noteikumu 4. pielikumā norādītajam izmantošanas veidu aprakstam un, ja nepieciešams, konkrētus apbūves parametrus."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19.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Šo noteikumu 4.2. līdz 4.13.apakšnodaļās noteikts atļauto izmantošanas veidu uzskaitījums konkrētā funkcionālajā zonā, kuru var samazināt atbilstoši attiecīgās teritorijas plānotajai attīstībai un specifikai."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 23.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"24.1. galvenos izmantošanas veidus,</w:t>
      </w:r>
      <w:r w:rsidR="00000000" w:rsidRPr="00000000" w:rsidDel="00000000">
        <w:rPr>
          <w:b w:val="1"/>
          <w:rtl w:val="0"/>
        </w:rPr>
        <w:t xml:space="preserve"> </w:t>
      </w:r>
      <w:r w:rsidR="00000000" w:rsidRPr="00000000" w:rsidDel="00000000">
        <w:rPr>
          <w:rtl w:val="0"/>
        </w:rPr>
        <w:t xml:space="preserve">atļautos papildizmantošanas veidus atbilstoši šo noteikumu 19.</w:t>
      </w:r>
      <w:r w:rsidR="00000000" w:rsidRPr="00000000" w:rsidDel="00000000">
        <w:rPr>
          <w:vertAlign w:val="superscript"/>
          <w:rtl w:val="0"/>
        </w:rPr>
        <w:t xml:space="preserve">1 </w:t>
      </w:r>
      <w:r w:rsidR="00000000" w:rsidRPr="00000000" w:rsidDel="00000000">
        <w:rPr>
          <w:rtl w:val="0"/>
        </w:rPr>
        <w:t xml:space="preserve">punktam un 4.pielikumā norādītajam izmantošanas veidu aprakstam, kā arī nepieciešamos apbūves parametrus;".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24.</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 Katrai funkcionālajai zonai vai apakšzonai (atkarībā no konkrētās situācijas) teritorijas plānojuma vai lokālplānojuma apbūves noteikumos var noteikt papildu nosacījumus, kurus izpildot papildizmantošana var tikt īstenota kā vienīgā izmantošana. Papildizmantošanas nosacījumus piemēro teritorijai – apbūves kvartālam vai atbilstošās funkcionālās zonas vai apakšzonas teritoriāli vienotai daļai vai zemes vienībai."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24.</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 Nosakot teritorijas izmantošanas veidu vieglās rūpniecības uzņēmumu apbūve (kods 13001), pašvaldība papildus var noteikt arī šo noteikumu 5.pielikuma darbības, kuras no vides aizsardzības viedokļa pieļaujamas minētajā teritorijas izmantošanas veida apbūvē."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35.1.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"35.1. vieglās rūpniecības uzņēmumu apbūve;".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35.3.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"35.3. noliktavu apbūve."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38.3.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"38.3. ar vieglās rūpniecības uzņēmumiem, kuriem nav nepieciešama piesārņojošas darbības atļauja, saistīta apbūve."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39.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 Rūpnieciskās apbūves teritorija (R) ir funkcionālā zona, ko nosaka, lai nodrošinātu industriālo teritoriju un rūpniecības uzņēmumu darbībai un attīstībai nepieciešamo terito­rijas organizāciju, inženiertehnisko apgādi un transporta infrastruktūru."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41.4.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"41.4. sporta būvju apbūve."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49.2.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"49.2. mežsaimnieciska izmantošana."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50.3.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"50.3. ūdenssaimnieciska izmantošana."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 52.2.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53.5.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"53.5. inženiertehniskā infrastruktūra un energoapgādes uzņēmumu apbūve, kas ietver tikai vēja elektrostaciju un vēja parku;".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53.6.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"53.6. ūdenssaimnieciska izmantošana."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54.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Lauksaimniecības teritorija (L) ir funkcionālā zona, ko nosaka, lai nodrošinātu lauksaimniecības zemes kā resursa racionālu un daudzveidīgu izmantošanu visu veidu lauksaimnieciskajai darbībai un ar to saistītajiem pakalpojumiem, kā arī vēsturiskās apbūves struktūras saglabāšanai un daudzveidīgai izmantošanai pilsētās un ciemos."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Papildināt ar 56.4.10.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"56.4.10. izglītības un zinātnes iestāžu apbūve;".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Papildināt ar 56.5.3.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"56.5.3. savrupmāju apbūve pilsētās un ciemos;".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61.3.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"61.3. daudzveidīgu teritorijas izmantošanu ar iespējām nodrošināt iedzīvotājiem nepieciešamo pakalpojumu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63.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Lauku teritorijā funkcionālās zonas un tajās atļautos izmantošanas veidus nosaka saskaņā ar šo noteikumu 21. un 22.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 69.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71.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Teritorijas plānojumā un lokālplānojumā atbilstoši mēroga noteiktībai paredz piekļuves iespējas publiskajiem ūdeņiem. Lokālplānojumos un detālplānojumos nosaka to izvietojumu un risinājumu."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 74.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79.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"79. Ja tiek plānoti objekti, kuru darbības dēļ var pieaugt satiksmes intensitāte un traucējumi citiem satiksmes dalībniekiem, kā arī rasties papildu noslodze un cita negatīva ietekme transporta infrastruktūrai, izstrādā transporta plūsmas shēmu, ko iekļauj lokālplānojumā, detālplānojumā vai būvprojektā."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90.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 Esošo un plānoto ielu sarkanās līnijas nosaka teritorijas plānojuma vai lokālplānojuma apbūves noteikumos vai detālplānojuma teritorijas izmantošanas un apbūves nosacījumos un atkarībā no detalizācijas pakāpes attēlo grafiskajā daļā."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6.5. apakšnodaļas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"6.5. Ietves un gājēju ceļi".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102.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 Gājēju ceļi atbilst šādām vides pieejamības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102.1. gājēju ceļa platums – ne mazāks par 1,2 m, tā iesegums – no cieta un jebkuros laikapstākļos neslīdoša materiāla;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102.2. gājēju ceļa robeža ir skaidri saskatāma un sataustāma, pielietojot marķējumu, atšķirīgas krāsas vai reljefa iesegumu."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Svītrot 6.6. apakšnodaļu.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 6.7. apakšnodaļu.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Papildināt ar 116.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w:t>
      </w:r>
      <w:r w:rsidR="00000000" w:rsidRPr="00000000" w:rsidDel="00000000">
        <w:rPr>
          <w:rtl w:val="0"/>
        </w:rPr>
        <w:t xml:space="preserve"> Ja zemes vienības daļai noteikta funkcionālā zona dabas un apstādījumu teritorija (DA), būvvalde vai institūcija, kas pilda būvvaldes funkcijas, var iekļaut šīs teritorijas platību apbūves intensitātes aprēķinā visai zemes vienībai."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 121.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Papildināt ar 131.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vertAlign w:val="superscript"/>
          <w:rtl w:val="0"/>
        </w:rPr>
        <w:t xml:space="preserve">1</w:t>
      </w:r>
      <w:r w:rsidR="00000000" w:rsidRPr="00000000" w:rsidDel="00000000">
        <w:rPr>
          <w:rtl w:val="0"/>
        </w:rPr>
        <w:t xml:space="preserve"> Ja tiesisko vai faktisko apstākļu, tai skaitā esošu inženiertīklu, dēļ nav iespējams ievērot noteiktās būvlaides, būvvalde vai institūcija, kas pilda būvvaldes funkcijas, var saskaņot atkāpes no 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 136.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140.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"140. Plānojot jaunas lauksaimniecības dzīvnieku turēšanai paredzētas būves vai esošo būvju paplašināšanu, ievēro šādus minimālos attālumus no tuvākās esošās dzīvojamās ēkas vai publiskās būves līdz lauksaimniecības dzīvnieku turēšanas būvei: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140.1. 50 m – ja būve paredzēta, lai vienlaikus turētu līdz 20 dzīvnieku vienībām;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140.2. 100 m – ja būve paredzēta, lai vienlaikus turētu 21 līdz 50 dzīv­nieku vienību;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140.3. 300 m – ja būve paredzēta, lai vienlaikus turētu 51 līdz 500 dzīv­nieku vienību;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140.4. 500 m – ja būve paredzēta, lai vienlaikus turētu vairāk par 501 dzīvnieku vienībām."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144.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"144. Plānojot inženierbūves, kas atbilst vispārīgajos būvnoteikumos noteiktā inženierbūvju iedalījuma III grupai, transporta un loģistikas objektus, rūpnieciskās ražošanas un pārstrādes uzņēmumus, tai skaitā derīgo izrakteņu ieguves vietas, atkritumu poligonus, biogāzes koģenerācijas stacijas un citus līdzīga rakstura objektus, kā arī potenciālus rūpniecisko avāriju riska objektus, teritorijas plānojumā, lokālplānojumā nosaka vai detālplānojumā paredz: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144.1. pasākumus šādu objektu ietekmes mazināšanai uz apkārtējām teritorijām;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144.2. transporta plūsmas organizāciju, lai netiktu ietekmētas dzīvojamās un publiskās apbūves teritorijas;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144.3. drošības attālumus līdz dzīvojamai un publiskai apbūvei, nosakot tajos teritorijas izmantošanas aprobežojumus."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148.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"148. Ūdensapgādes un kanalizācijas risinājumus jaunas apbūves teritorijās plāno, izvērtējot riskus videi un cilvēku veselībai un centralizēto kanalizācijas risinājumu tehniski ekonomisko pamatotību, atbilstoši paredzot centralizētas vai decentralizētas ūdensapgādes un kanalizācijas sistēmas.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Izteikt 150.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"150. Pilsētās un ciemos, teritorijās ar īpašiem noteikumiem (TIN1), paredz obligātu centralizētu ūdensapgādi un kanalizāciju šādās apbūves teritorijās: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150.1. mazstāvu un daudzstāvu dzīvojamās apbūves teritorijas;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150.2. publiskās apbūves teritorijas;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150.3. jauktas centra apbūves teritorijas;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150.4. savrupmāju apbūves teritorijas."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Izteikt 151.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"151. Pilsētās un ciemos, šo noteikumu 150. punktā minētajās apbūves teritorijās, kā pagaidu risinājumu līdz centralizētu ūdensapgādes un kanalizācijas tīklu izbūvei var ierīkot vietējo ūdensapgādi un decentralizētas kanalizācijas sistēmas, paredzot pieslēgšanas iespējas centralizētajiem tīkliem pēc to izbūves. Pēc centralizēto ūdensapgādes un kanalizācijas tīklu izbūves pieslēgums tiem ir obligāts."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Izteikt 153.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"153. Lokālplānojumā un detalplānojumā norāda ūdens ņemšanas vietas ugunsdzēsības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Izteikt 161.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 Vēja elektrostacijas, kuru jauda ir lielāka par 20 kW, atļauts izvietot rūpnieciskās apbūves teritorijā (R), tehniskās apbūves teritorijā (TA), lauksaimniecības teritorijā (L) un mežu teritorijā (M) atbilstoši teritorijas plānojuma un ietekmes uz vidi novērtējuma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 8.5. apakšnodaļu.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Izteikt 173.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 Autostāvvietu kases automātu, bankomātu, reklāmas stabu un citu objektu izvietojums nedrīkst traucēt gājēju, bērnu ratiņu un riteņkrēslu lietotāju pārvietošanos. Brīvās ietves platums nevar būt mazāks par 1,2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Papildināt ar 234.8.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"234.8. degradētās teritorijas."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Izteikt 235.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"235. Teritorijās, kas ieplānotas nacionālas un vietējas nozīmes infrastruktūras izbūvei un rekonstrukcijai, var turpināt teritorijas plānojumā noteikto atļauto izmantošanu (izņemot jaunu dzīvojamo, publisku un ražošanas ēku būvniecību), ievērojot nosacījumu, ka būves var izmantot tikai līdz plānotā infrastruktūras objekta būvprojekta īstenošanas uzsākšanai."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 239.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Papildināt ar 239.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vertAlign w:val="superscript"/>
          <w:rtl w:val="0"/>
        </w:rPr>
        <w:t xml:space="preserve">1</w:t>
      </w:r>
      <w:r w:rsidR="00000000" w:rsidRPr="00000000" w:rsidDel="00000000">
        <w:rPr>
          <w:rtl w:val="0"/>
        </w:rPr>
        <w:t xml:space="preserve"> Teritorijas izmantošanas veidus nosaka saskaņā ar šo noteikumu 4.pielikumu."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Svītrot 1.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Svītrot 3.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Papildināt ar 4.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Papildināt ar 5.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24-TA-536</w:t>
    </w:r>
    <w:r>
      <w:br/>
    </w:r>
    <w:r w:rsidR="00000000" w:rsidRPr="00000000" w:rsidDel="00000000">
      <w:rPr>
        <w:rtl w:val="0"/>
      </w:rPr>
      <w:t xml:space="preserve">Izdrukāts 29.07.2026. 22.09 - 1.0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24-TA-536</w:t>
    </w:r>
    <w:r>
      <w:br/>
    </w:r>
    <w:r w:rsidR="00000000" w:rsidRPr="00000000" w:rsidDel="00000000">
      <w:rPr>
        <w:rtl w:val="0"/>
      </w:rPr>
      <w:t xml:space="preserve">Izdrukāts 29.07.2026. 22.09 - 1.0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noteikumu_(grozījumu)_projekts_24-TA-536.docx</dc:title>
</cp:coreProperties>
</file>

<file path=docProps/custom.xml><?xml version="1.0" encoding="utf-8"?>
<Properties xmlns="http://schemas.openxmlformats.org/officeDocument/2006/custom-properties" xmlns:vt="http://schemas.openxmlformats.org/officeDocument/2006/docPropsVTypes"/>
</file>