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 gada 21.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Kompensācijas aprēķins, ja centralizētās siltumapgādes pakalpojuma tarifs vai vienošanās cena nepārsniedz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sniedzēja 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centralizētās siltumapgādes pakalpojuma tarifs vai vienošanās cena nepārsniedz 150 EUR/MWh,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otro, 2.</w:t>
      </w:r>
      <w:r w:rsidR="00000000" w:rsidRPr="00000000" w:rsidDel="00000000">
        <w:rPr>
          <w:b w:val="1"/>
          <w:vertAlign w:val="superscript"/>
          <w:rtl w:val="0"/>
        </w:rPr>
        <w:t xml:space="preserve">1 </w:t>
      </w:r>
      <w:r w:rsidR="00000000" w:rsidRPr="00000000" w:rsidDel="00000000">
        <w:rPr>
          <w:b w:val="1"/>
          <w:rtl w:val="0"/>
        </w:rPr>
        <w:t xml:space="preserve">un trešo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i w:val="1"/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2022./2023. gada 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 siltumapgādes pakalpojumus nodrošina par (</w:t>
      </w:r>
      <w:r w:rsidR="00000000" w:rsidRPr="00000000" w:rsidDel="00000000">
        <w:rPr>
          <w:i w:val="1"/>
          <w:rtl w:val="0"/>
        </w:rPr>
        <w:t xml:space="preserve">atzīmēt 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 ▢ vienošanās cenu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4792"/>
        <w:gridCol w:w="1778"/>
        <w:gridCol w:w="1682"/>
        <w:tblGridChange w:id="0">
          <w:tblGrid>
            <w:gridCol w:w="788"/>
            <w:gridCol w:w="4792"/>
            <w:gridCol w:w="1778"/>
            <w:gridCol w:w="1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 vai vienošanās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vai vienošanās cenu (3. punkts)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dalīta ar 2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 punkts x 5. 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energoresursiem, izņemot atbalstu, kas tiek piemērots juridiskajai personai.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noteikumu_(grozījumu)_projekts_p1_22-TA-3521.docx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