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25. jūnija noteikumos Nr. 403 "Prasības mājas (istabas) dzīvnieku specializētajām tirdzniecības vietām un to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 panta 11. punktu un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18.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 un 18.</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403 "Prasības mājas (istabas) dzīvnieku specializētajām tirdzniecības vietām un to reģistrācijas kārtība" (Latvijas Vēstnesis, 2024, 123.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tirdzniecībai paredzēto dzīvnieku sugas un skaitu vai daudzumu;".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ir regulāri uzturēts tīrs un, ja nepieciešams, dezinficēts ar dzīvnieku turēšanas vietām piemērotu dezinfekcijas līdzekli. Pirms jaunu dzīvnieku ievietošanas to turēšanas vieta ir iztīrīta un dezinficēta, izņemot akvāriju, kas aprīkots ar ūdens filtrācijas sistēmu."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25-TA-338</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25-TA-338</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noteikumu_(grozījumu)_projekts_25-TA-338.docx</dc:title>
</cp:coreProperties>
</file>

<file path=docProps/custom.xml><?xml version="1.0" encoding="utf-8"?>
<Properties xmlns="http://schemas.openxmlformats.org/officeDocument/2006/custom-properties" xmlns:vt="http://schemas.openxmlformats.org/officeDocument/2006/docPropsVTypes"/>
</file>