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845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2021. gada 21. decembrī (prot. Nr. 81 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2016. gada 20. decembra noteikumos Nr. 812 "Oficiālās statistikas veidlapu paraugu apstiprināšanas un veidlapu aizpildīšanas un iesniegšanas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Statistikas likuma</w:t>
      </w:r>
      <w:r w:rsidR="00000000" w:rsidRPr="00000000" w:rsidDel="00000000">
        <w:rPr>
          <w:rStyle w:val="paragraph"/>
          <w:i w:val="1"/>
          <w:rtl w:val="0"/>
        </w:rPr>
        <w:t xml:space="preserve"> 11.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2016. gada 20. decembra noteikumos Nr. 812 "Oficiālās statistikas veidlapu paraugu apstiprināšanas un veidlapu aizpildīšanas un iesniegšanas noteikumi" (Latvijas Vēstnesis, 2016, 251. nr.; 2017, 255. nr.; 2019, 34. nr.; 2020, 7., 230.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veidlapa Nr. 1-DVV "Uzņēmuma (iestādes) vietējās darbības veida vienības 20__. gadā", kura nodrošina arī Padomes 1993. gada 15. marta Regulas (EEK) Nr. 696/93 par statistikas vienībām ražošanas sistēmas novērošanai un analīzei Kopienā un Eiropas Parlamenta un Padomes 2019. gada 27. novembra Regulas (ES) 2019/2152 par Eiropas uzņēmējdarbības statistiku, ar ko atceļ 10 tiesību aktus uzņēmējdarbības statistikas jomā (turpmāk – Eiropas Parlamenta un Padomes Regula Nr. 2019/2152), prasību piemērošanu (7.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"2.12. veidlapa Nr. 1-gada "Kompleksais pārskats par darbību 20__. gadā", kura nodrošina arī Eiropas Parlamenta un Padomes Regulas Nr. 2019/2152 un Eiropas Parlamenta un Padomes Regulas Nr. 549/2013 prasību piemērošanu (12.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"2.14. veidlapa Nr. 1-ieguldījumi "Pārskats par ieguldījumu kustību 20__. gadā", kura nodrošina arī Eiropas Parlamenta un Padomes Regulas Nr. 549/2013 un Eiropas Parlamenta un Padomes Regulas Nr. 2019/2152 prasību piemērošanu (14.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 2.15.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 veidlapa Nr. 1-pakalpojumi "Pārskats par pakalpojumiem 20__. gadā", kura nodrošina arī Eiropas Parlamenta un Padomes Regulas Nr. 2019/2152 prasību piemērošanu (21.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"2.22. veidlapa Nr. 1-pētniecība "Augstākās mācību iestādes, tās pārraudzībā esošās zinātniskās iestādes pārskats par zinātnisko darbu izpildi 20__. gadā", kura nodrošina arī Komisijas 2020. gada 30. jūlija Īstenošanas regulas (ES) Nr. 2020/1197, ar kuru nosaka tehniskās specifikācijas un kārtību saskaņā ar Eiropas Parlamenta un Padomes Regulu (ES) 2019/2152 par Eiropas uzņēmējdarbības statistiku, ar ko atceļ 10 tiesību aktus uzņēmējdarbības statistikas jomā (turpmāk – Komisijas Īstenošanas regula Nr. 2020/1197), prasību piemērošanu (22.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2.26.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"2.26. veidlapa Nr. 1-rūpniecība "Rūpniecības produkcijas veidi un pakalpojumi", kura nodrošina arī Eiropas Parlamenta un Padomes Regulas Nr. 2019/2152 un Komisijas Īstenošanas regulas Nr. 2020/1197 prasību piemērošanu (26.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2.27.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"2.27. veidlapa Nr. 1-tirdzniecība (auto) "Pārskats par automobiļu un motociklu vairumtirdzniecību, mazumtirdzniecību un remontu 20__. gadā", kura nodrošina Eiropas Parlamenta un Padomes Regulas Nr. 549/2013 prasību piemērošanu (27.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2.29.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"2.29. veidlapa Nr. 1-VA "Pārskats par līdzekļu izlietojumu dabas resursu un vides aizsardzībai 20__. gadā", kura nodrošina arī Eiropas Parlamenta un Padomes 2014. gada 16. aprīļa Regulas (ES) Nr. 538/2014, ar ko groza Regulu (ES) Nr. 691/2011 par Eiropas vides ekonomiskajiem kontiem, prasību piemērošanu (29.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2.30.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"2.30. veidlapa Nr. 2-ārvalstu kontrole "Pārskats par ārvalstu saistīta uzņēmuma darbību 20__. gadā", kura nodrošina arī Eiropas Parlamenta un Padomes Regulas Nr. 2019/2152 prasību piemērošanu (30.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2.34.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"2.34. veidlapa Nr. 2-IC "Pārskats par importēto preču cenām 20__. gadā", kura nodrošina arī Eiropas Parlamenta un Padomes 2005. gada 6. jūlija Regulas (EK) Nr. 1158/2005, ar ko groza Padomes Regulu (EK) Nr. 1165/98 par īstermiņa statistiku (turpmāk – Eiropas Parlamenta un Padomes Regula Nr. 1158/2005), un Eiropas Parlamenta un Padomes Regulas Nr. 2019/2152 prasību piemērošanu (34.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 2.36.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2.38.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"2.38. veidlapa Nr. 2-pakalpojumi "Pārskats par pakalpojumiem 20__. gadā", kura nodrošina arī Eiropas Parlamenta un Padomes Regulas Nr. 2019/2152 prasību piemērošanu (38.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2.39.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"2.39. veidlapa Nr. 2-PC "Pārskats par biznesa pakalpojumu cenām", kura nodrošina arī Eiropas Parlamenta un Padomes Regulas Nr. 1158/2005 un Eiropas Parlamenta un Padomes Regulas Nr. 2019/2152 prasību piemērošanu (39.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2.40.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"2.40. veidlapa Nr. 2-pētniecība "Pārskats par pētniecības un attīstības darbu izpildi uzņēmējdarbības sektorā 2021. gadā", kura nodrošina arī Eiropas Parlamenta un Padomes Regulas Nr. 2019/2152 prasību piemērošanu (40.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"2.41. veidlapa Nr. 2-RC "Pārskats par ražotāju cenām rūpniecībā", kura nodrošina arī Padomes 1998. gada 19. maija Regulas (EK) Nr. 1165/98 par īstermiņa statistiku (turpmāk – Padomes Regula Nr. 1165/98) un Eiropas Parlamenta un Padomes Regulas Nr. 2019/2152 prasību piemērošanu (41.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2.45.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"2.45. veidlapa Nr. 3-pakalpojumi "Pārskats par pakalpojumiem 20__. gadā", kura nodrošina arī Eiropas Parlamenta un Padomes Regulas Nr. 2019/2152 prasību piemērošanu (45.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2.46.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"2.46. veidlapa Nr. 3-pētniecība "Valsts sektora zinātniskās iestādes pārskats par zinātnisko darbu izpildi 20__. gadā", kura nodrošina arī Komisijas Īstenošanas regulas Nr. 2020/1197 prasību piemērošanu (46.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2.47.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"2.47. veidlapa Nr. 4-pakalpojumi "Pārskats par pakalpojumiem 20__. gadā", kura nodrošina arī Eiropas Parlamenta un Padomes Regulas Nr. 2019/2152 prasību piemērošanu (47.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2.48.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"2.48. veidlapa Nr. 5-dzīvojamais fonds "Dzīvojamā fonda apsaimniekošana", kura nodrošina arī Komisijas 2005. gada 20. oktobra Regulas (EK) Nr. 1722/2005 par mājokļu pakalpojumu novērtēšanas principiem saistībā ar Padomes Regulu (EK, </w:t>
      </w:r>
      <w:r w:rsidR="00000000" w:rsidRPr="00000000" w:rsidDel="00000000">
        <w:rPr>
          <w:i w:val="1"/>
          <w:rtl w:val="0"/>
        </w:rPr>
        <w:t xml:space="preserve">Euratom</w:t>
      </w:r>
      <w:r w:rsidR="00000000" w:rsidRPr="00000000" w:rsidDel="00000000">
        <w:rPr>
          <w:rtl w:val="0"/>
        </w:rPr>
        <w:t xml:space="preserve">) Nr. 1287/2003 par to, kā saskaņot nacionālo kopienākumu tirgus cenās, prasību piemērošanu (48.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2.51.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 veidlapa Nr. 5-pakalpojumi "Pārskats par pakalpojumiem 20__. gadā", kura nodrošina arī Eiropas Parlamenta un Padomes Regulas Nr. 2019/2152 prasību piemērošanu (51.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2.52.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"2.52. veidlapa Nr. 5-tirdzniecība "Pārskats par mazumtirdzniecības apgrozījumu sadalījumā pa preču grupām", kura nodrošina arī Eiropas Parlamenta un Padomes Regulas Nr. 549/2013 prasību piemērošanu (52.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2.53.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"2.53. veidlapa Nr. 5-tirdzniecība (īsā) "Pārskats par mazumtirdzniecības apgrozījumu sadalījumā pa preču grupām", kura nodrošina arī Eiropas Parlamenta un Padomes Regulas Nr. 549/2013 prasību piemērošanu (53.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2.54.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 veidlapa Nr. 6-pakalpojumi "Pārskats par pakalpojumiem 20__. gadā", kura nodrošina arī Eiropas Parlamenta un Padomes Regulas Nr. 2019/2152 prasību piemērošanu (54.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2.55.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"2.55. veidlapa Nr. 6-tirdzniecība "Pārskats par vairumtirdzniecības apgrozījumu sadalījumā pa preču grupām", kura nodrošina arī Eiropas Parlamenta un Padomes Regulas Nr. 549/2013 prasību piemērošanu (55.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2.56.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"2.56. veidlapa Nr. 7-pakalpojumi "Pārskats par pakalpojumiem 20__. gadā", kura nodrošina arī Eiropas Parlamenta un Padomes Regulas Nr. 2019/2152 prasību piemērošanu (56.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2.57.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"2.57. veidlapa Nr. 8-pakalpojumi "Pārskats par pakalpojumiem 20__. gadā", kura nodrošina arī Eiropas Parlamenta un Padomes Regulas Nr. 2019/2152 prasību piemērošanu (57.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2.58.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"2.58. veidlapa Nr. 9-pakalpojumi "Pārskats par pakalpojumiem 20__. gadā", kura nodrošina arī Eiropas Parlamenta un Padomes Regulas Nr. 2019/2152 prasību piemērošanu (58.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2.59.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"2.59. veidlapa Nr. 10-pakalpojumi "Pārskats par pakalpojumiem 20__. gadā", kura nodrošina arī Eiropas Parlamenta un Padomes Regulas Nr. 2019/2152 prasību piemērošanu (59.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2.69.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"2.69. veidlapa 1-PC "Pārskats par biznesa pakalpojumu cenām", kura nodrošina arī Eiropas Parlamenta un Padomes Regulas Nr. 1158/2005 un Eiropas Parlamenta un Padomes Regulas Nr. 2019/2152 prasību piemērošanu (69.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2.71.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"2.71. veidlapa Nr. 1-zvejniecība "Pārskats par zvejniecību", kura nodrošina arī Padomes 2006. gada 18. decembra Regulas (EK) Nr. 1921/2006, kas attiecas uz statistikas datu sniegšanu par dalībvalstīs izkrautajiem zvejniecības produktiem un ar ko atceļ Padomes Regulu (EEK) Nr. 1382/91, Eiropas Parlamenta un Padomes 2017. gada 17. maija Regulas (ES) Nr. 2017/1004 par Savienības sistēmas izveidi datu vākšanai, pārvaldībai un izmantošanai zivsaimniecības nozarē un par atbalstu zinātniskā ieteikuma izstrādei saistībā ar kopējo zivsaimniecības politiku, un ar ko atceļ Padomes Regulu (EK) Nr. 199/2008, Komisijas 2008. gada 14. jūlija Regulas (EK) Nr. 665/2008, ar ko nosaka sīki izstrādātus piemērošanas noteikumus Padomes Regulai (EK) Nr. 199/2008 par Kopienas sistēmas izveidi datu vākšanai, pārvaldībai un izmantošanai zivsaimniecības nozarē un par atbalstu zinātniskā padoma izstrādei saistībā ar kopējo zivsaimniecības politiku, Eiropas Parlamenta un Padomes 2009. gada 11. marta Regulas (EK) Nr. 218/2009 par to dalībvalstu nominālās nozvejas statistikas iesniegšanu, kuras zvejo Atlantijas okeāna ziemeļaustrumu daļā (pārstrādāta versija), Eiropas Parlamenta un Padomes 2009. gada 11. marta Regulas (EK) Nr. 217/2009 par to, kā dalībvalstis, kas zvejo Ziemeļrietumu Atlantijā, iesniedz statistikas datus par nozveju un zvejas intensitāti (pārstrādāta versija), un Eiropas Parlamenta un Padomes 2009. gada 11. marta Regulas (EK) Nr. 216/2009 par to, kā dalībvalstis, kas zvejo apgabalos ārpus Ziemeļatlantijas, iesniedz nominālās nozvejas statistiku (pārstrādāta versija), prasību piemērošanu (71.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2.82.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"2.82. veidlapa Nr. Ievedums-Intrastat-1A "Pārskats par tirdzniecību ar Eiropas Savienības dalībvalstīm", kura nodrošina arī Eiropas Parlamenta un Padomes Regulas Nr. 2019/2152 un Komisijas Īstenošanas regulas Nr. 2020/1197 prasību piemērošanu (82.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2.83.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"2.83. veidlapa Nr. Ievedums-Intrastat-1B "Pārskats par tirdzniecību ar Eiropas Savienības dalībvalstīm", kura nodrošina arī Eiropas Parlamenta un Padomes Regulas Nr. 2019/2152 un Komisijas Īstenošanas regulas Nr. 2020/1197 prasību piemērošanu (83.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2.84.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"2.84. veidlapa Nr. Izvedums-Intrastat-2A "Pārskats par tirdzniecību ar Eiropas Savienības dalībvalstīm", kura nodrošina arī Eiropas Parlamenta un Padomes Regulas Nr. 2019/2152 un Komisijas Īstenošanas regulas Nr. 2020/1197 prasību piemērošanu (84.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2.85.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"2.85. veidlapa Nr. Izvedums-Intrastat-2B "Pārskats par tirdzniecību ar Eiropas Savienības dalībvalstīm", kura nodrošina arī Eiropas Parlamenta un Padomes Regulas Nr. 2019/2152 un Komisijas Īstenošanas regulas Nr. 2020/1197 prasību piemērošanu (85.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2.86.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"2.86. veidlapa Nr. 1-BC "Pārskats par būvniecības resursu cenām", kura nodrošina arī Padomes Regulas Nr. 1165/98 un Eiropas Parlamenta un Padomes Regulas Nr. 2019/2152 prasību piemērošanu (86.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2.87.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"2.87. veidlapa Nr. 1-IC "Pārskats par importa cenām", kura nodrošina arī Eiropas Parlamenta un Padomes Regulas Nr. 1158/2005 un Eiropas Parlamenta un Padomes Regulas Nr. 2019/2152 prasību piemērošanu (87.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2.88.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"2.88. veidlapa Nr. 1-RC "Pārskats par ražotāju cenām rūpniecībā", kura nodrošina arī Padomes Regulas Nr. 1165/98 un Eiropas Parlamenta un Padomes Regulas Nr. 2019/2152 prasību piemērošanu (88.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2.111.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"2.111. veidlapa Nr. 2-EU-SILC "Mājsaimniecības veidlapa", kura nodrošina arī Komisijas Regulas Nr. 1983/2003, Eiropas Parlamenta un Padomes Regulas Nr. 2019/1700 un Komisijas Īstenošanas regulas Nr. 2019/2242 prasību piemērošanu (111.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2.112.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"2.112. veidlapa Nr. 3-EU-SILC "Individuālā veidlapa", kura nodrošina arī Eiropas Parlamenta un Padomes Regulas Nr. 2019/1700 un Komisijas Īstenošanas regulas Nr. 2019/2242 prasību piemērošanu (112.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Izteikt 2.115.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"2.115. veidlapa Nr. 1-PIA "Pieaugušo izglītības apsekojums", kura nodrošina arī Komisijas Regulas (ES) Nr. 1175/2014, ar ko attiecībā uz statistiku par pieaugušo piedalīšanos mūžizglītībā īsteno Eiropas Parlamenta un Padomes Regulu (EK) Nr. 452/2008 par izglītības un mūžizglītības statistikas izveidi un pilnveidi un atceļ Komisijas Regulu (ES) Nr. 823/2010, Eiropas Parlamenta un Padomes Regulas Nr. 2019/1700 un Komisijas 2021. gada 21. maija Īstenošanas Regulas (ES) Nr. 2021/861, ar ko saskaņā ar Eiropas Parlamenta un Padomes Regulu (ES) 2019/1700 precizē datu kopas tehniskos aspektus un nosaka informācijas nosūtīšanas tehniskos formātus par izlases apsekojuma organizēšanu izglītības un apmācības jomā (Dokuments attiecas uz EEZ), prasību piemērošanu (115.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Izteikt 2.116.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"2.116. veidlapa Nr. IKT-personas "Interneta lietošana 2022. gadā", kura nodrošina arī Eiropas Parlamenta un Padomes Regulas Nr. 2019/1700 prasību piemērošanu (116.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Izteikt 2.117.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"2.117. veidlapa Nr. 1-DSA "Darbaspēka apsekojums", kura nodrošina arī Eiropas Parlamenta un Padomes Regulas Nr. 2019/1700, Komisijas 2019. gada 16. decembra Īstenošanas regulas (ES) 2019/2240, ar ko saskaņā ar Eiropas Parlamenta un Padomes Regulu (ES) 2019/1700 precizē datu kopas tehniskos aspektus, nosaka informācijas nosūtīšanas tehniskos formātus un precizē kvalitātes ziņojumu detalizētu sagatavošanas kārtību un saturu par izlases apsekojuma organizēšanu darbaspēka jomā (turpmāk – Komisijas Īstenošanas regula Nr. 2019/2240), prasību piemērošanu (117.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Izteikt 2.123.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"2.123. veidlapa Nr. 2-inovācijas "Inovācijas uzņēmējdarbībā", kura nodrošina arī Eiropas Parlamenta un Padomes Regulas Nr. 2019/2152 prasību piemērošanu (123.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Izteikt 2.132.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"2.132. veidlapa Nr. 1-gada konsolidētais "Konsolidētais pārskats par darbību 20__. gadā", kura nodrošina arī Eiropas Parlamenta un Padomes Regulas Nr. 2019/2152 un Eiropas Parlamenta un Padomes Regulas Nr. 549/2013 prasību piemērošanu (132.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Izteikt 2.133.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"2.133. veidlapa Nr. 1-mobilitāte "Latvijas iedzīvotāju mobilitāte 2021. gadā" (133.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Izteikt 2.144.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"2.144. veidlapa Nr. 1-pesticīdi "Pesticīdu lietošana kultūraugu sējumos un stādījumos", kura nodrošina arī Eiropas Parlamenta un Padomes 2009. gada 25. novembra Regulas (EK) Nr. 1185/2009 attiecībā uz statistiku par pesticīdiem (turpmāk – Eiropas Parlamenta un Padomes Regula Nr. 1185/2009) prasību piemērošanu (144.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Svītrot 2.145.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 2.149.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Izteikt 2.155.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"2.155. veidlapa Nr. 5-EU-SILC (2022) "COVID-19 krīzes ietekme" (155.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Papildināt ar 2.156.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"2.156. veidlapa Nr. 2-pesticīdi "Pesticīdu lietošana kultūraugu sējumos", kura nodrošina arī Eiropas Parlamenta un Padomes Regulas Nr. 1185/2009 prasību piemērošanu (156.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Papildināt ar 2.157.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"2.157. veidlapa Nr. 1-DSVA "Ar dzimumu saistītas vardarbības apsekojums" (157.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Papildināt ar 2.158.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"2.158. veidlapa Nr. 2-DSA (2022) "Darba prasmes", kura nodrošina arī Eiropas Parlamenta un Padomes Regulas Nr. 2019/1700 un Komisijas 2020. gada 5. novembra Īstenošanas regulas (ES) Nr. 2020/1642, ar ko saskaņā ar Eiropas Parlamenta un Padomes Regulu (ES) 2019/1700 precizē tehniskos aspektus attiecībā uz 2022. gada </w:t>
      </w:r>
      <w:r w:rsidR="00000000" w:rsidRPr="00000000" w:rsidDel="00000000">
        <w:rPr>
          <w:i w:val="1"/>
          <w:rtl w:val="0"/>
        </w:rPr>
        <w:t xml:space="preserve">ad hoc </w:t>
      </w:r>
      <w:r w:rsidR="00000000" w:rsidRPr="00000000" w:rsidDel="00000000">
        <w:rPr>
          <w:rtl w:val="0"/>
        </w:rPr>
        <w:t xml:space="preserve">temata "darba prasmes" un astoņu gadu mainīgo lielumu par "pensiju un dalību darba tirgū" datu kopu darbaspēka jomā, prasību piemērošanu (158.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Papildināt ar 2.159.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"2.159. veidlapa Nr. 4-EU-SILC (2022) "Veselība un dzīves kvalitāte", kura nodrošina arī Eiropas Parlamenta un Padomes Regulas Nr. 2019/1700 un Komisijas Īstenošanas regulas Nr. 2019/2242 prasību piemērošanu (159.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Šo noteikumu 2.37., 2.44., 2.110., 2.111., 2.112., 2.114., 2.115., 2.116., 2.117., 2.125., 2.126., 2.150., 2.151., 2.152., 2.153., 2.155., 2.157., 2.158. un 2.159. apakšpunktā minētās oficiālās statistikas veidlapas var aizpildīt pārvaldes intervētājs, pamatojoties uz respondenta mutiski sniegto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Svītrot informatīvajā atsaucē uz Eiropas Savienības direktīvām 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 informatīvajā atsaucē uz Eiropas Savienības direktīvām 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Izteikt 12.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Izteikt 14.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Svītrot 15.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Izteikt 16.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Izteikt 18.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Izteikt 26. pielikumu jaunā redakcijā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Izteikt 32. pielikumu jaunā redakcijā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Svītrot 36.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Izteikt 37. pielikumu jaunā redakcijā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Izteikt 40. pielikumu jaunā redakcijā (</w:t>
      </w:r>
      <w:r w:rsidR="00000000" w:rsidRPr="00000000" w:rsidDel="00000000">
        <w:rPr>
          <w:rtl w:val="0"/>
        </w:rPr>
        <w:t xml:space="preserve">9.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Izteikt 44. pielikumu jaunā redakcijā (</w:t>
      </w:r>
      <w:r w:rsidR="00000000" w:rsidRPr="00000000" w:rsidDel="00000000">
        <w:rPr>
          <w:rtl w:val="0"/>
        </w:rPr>
        <w:t xml:space="preserve">10.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Izteikt 48. pielikumu jaunā redakcijā (</w:t>
      </w:r>
      <w:r w:rsidR="00000000" w:rsidRPr="00000000" w:rsidDel="00000000">
        <w:rPr>
          <w:rtl w:val="0"/>
        </w:rPr>
        <w:t xml:space="preserve">11.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Izteikt 75. pielikumu jaunā redakcijā (</w:t>
      </w:r>
      <w:r w:rsidR="00000000" w:rsidRPr="00000000" w:rsidDel="00000000">
        <w:rPr>
          <w:rtl w:val="0"/>
        </w:rPr>
        <w:t xml:space="preserve">12.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Izteikt 82. pielikumu jaunā redakcijā (</w:t>
      </w:r>
      <w:r w:rsidR="00000000" w:rsidRPr="00000000" w:rsidDel="00000000">
        <w:rPr>
          <w:rtl w:val="0"/>
        </w:rPr>
        <w:t xml:space="preserve">13.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Izteikt 83. pielikumu jaunā redakcijā (</w:t>
      </w:r>
      <w:r w:rsidR="00000000" w:rsidRPr="00000000" w:rsidDel="00000000">
        <w:rPr>
          <w:rtl w:val="0"/>
        </w:rPr>
        <w:t xml:space="preserve">14.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Izteikt 84. pielikumu jaunā redakcijā (</w:t>
      </w:r>
      <w:r w:rsidR="00000000" w:rsidRPr="00000000" w:rsidDel="00000000">
        <w:rPr>
          <w:rtl w:val="0"/>
        </w:rPr>
        <w:t xml:space="preserve">15.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Izteikt 85. pielikumu jaunā redakcijā (</w:t>
      </w:r>
      <w:r w:rsidR="00000000" w:rsidRPr="00000000" w:rsidDel="00000000">
        <w:rPr>
          <w:rtl w:val="0"/>
        </w:rPr>
        <w:t xml:space="preserve">16.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Izteikt 110. pielikumu jaunā redakcijā (</w:t>
      </w:r>
      <w:r w:rsidR="00000000" w:rsidRPr="00000000" w:rsidDel="00000000">
        <w:rPr>
          <w:rtl w:val="0"/>
        </w:rPr>
        <w:t xml:space="preserve">17.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Izteikt 111. pielikumu jaunā redakcijā (</w:t>
      </w:r>
      <w:r w:rsidR="00000000" w:rsidRPr="00000000" w:rsidDel="00000000">
        <w:rPr>
          <w:rtl w:val="0"/>
        </w:rPr>
        <w:t xml:space="preserve">18.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Izteikt 112. pielikumu jaunā redakcijā (</w:t>
      </w:r>
      <w:r w:rsidR="00000000" w:rsidRPr="00000000" w:rsidDel="00000000">
        <w:rPr>
          <w:rtl w:val="0"/>
        </w:rPr>
        <w:t xml:space="preserve">19.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Izteikt 114. pielikumu jaunā redakcijā (</w:t>
      </w:r>
      <w:r w:rsidR="00000000" w:rsidRPr="00000000" w:rsidDel="00000000">
        <w:rPr>
          <w:rtl w:val="0"/>
        </w:rPr>
        <w:t xml:space="preserve">20.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Izteikt 115. pielikumu jaunā redakcijā (</w:t>
      </w:r>
      <w:r w:rsidR="00000000" w:rsidRPr="00000000" w:rsidDel="00000000">
        <w:rPr>
          <w:rtl w:val="0"/>
        </w:rPr>
        <w:t xml:space="preserve">21.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Izteikt 116. pielikumu jaunā redakcijā (</w:t>
      </w:r>
      <w:r w:rsidR="00000000" w:rsidRPr="00000000" w:rsidDel="00000000">
        <w:rPr>
          <w:rtl w:val="0"/>
        </w:rPr>
        <w:t xml:space="preserve">22.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Izteikt 117. pielikumu jaunā redakcijā (</w:t>
      </w:r>
      <w:r w:rsidR="00000000" w:rsidRPr="00000000" w:rsidDel="00000000">
        <w:rPr>
          <w:rtl w:val="0"/>
        </w:rPr>
        <w:t xml:space="preserve">23.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Izteikt 130. pielikumu jaunā redakcijā (</w:t>
      </w:r>
      <w:r w:rsidR="00000000" w:rsidRPr="00000000" w:rsidDel="00000000">
        <w:rPr>
          <w:rtl w:val="0"/>
        </w:rPr>
        <w:t xml:space="preserve">24.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Izteikt 131. pielikumu jaunā redakcijā (</w:t>
      </w:r>
      <w:r w:rsidR="00000000" w:rsidRPr="00000000" w:rsidDel="00000000">
        <w:rPr>
          <w:rtl w:val="0"/>
        </w:rPr>
        <w:t xml:space="preserve">25.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Izteikt 132. pielikumu jaunā redakcijā (</w:t>
      </w:r>
      <w:r w:rsidR="00000000" w:rsidRPr="00000000" w:rsidDel="00000000">
        <w:rPr>
          <w:rtl w:val="0"/>
        </w:rPr>
        <w:t xml:space="preserve">26.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Izteikt 133. pielikumu jaunā redakcijā (</w:t>
      </w:r>
      <w:r w:rsidR="00000000" w:rsidRPr="00000000" w:rsidDel="00000000">
        <w:rPr>
          <w:rtl w:val="0"/>
        </w:rPr>
        <w:t xml:space="preserve">27.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Svītrot 145.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Svītrot 149.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Izteikt 155. pielikumu jaunā redakcijā (</w:t>
      </w:r>
      <w:r w:rsidR="00000000" w:rsidRPr="00000000" w:rsidDel="00000000">
        <w:rPr>
          <w:rtl w:val="0"/>
        </w:rPr>
        <w:t xml:space="preserve">28.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Papildināt ar 156. pielikumu (</w:t>
      </w:r>
      <w:r w:rsidR="00000000" w:rsidRPr="00000000" w:rsidDel="00000000">
        <w:rPr>
          <w:rtl w:val="0"/>
        </w:rPr>
        <w:t xml:space="preserve">29.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Papildināt ar 157. pielikumu (</w:t>
      </w:r>
      <w:r w:rsidR="00000000" w:rsidRPr="00000000" w:rsidDel="00000000">
        <w:rPr>
          <w:rtl w:val="0"/>
        </w:rPr>
        <w:t xml:space="preserve">30.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Papildināt ar 158. pielikumu (</w:t>
      </w:r>
      <w:r w:rsidR="00000000" w:rsidRPr="00000000" w:rsidDel="00000000">
        <w:rPr>
          <w:rtl w:val="0"/>
        </w:rPr>
        <w:t xml:space="preserve">31.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Papildināt ar 159. pielikumu (</w:t>
      </w:r>
      <w:r w:rsidR="00000000" w:rsidRPr="00000000" w:rsidDel="00000000">
        <w:rPr>
          <w:rtl w:val="0"/>
        </w:rPr>
        <w:t xml:space="preserve">32.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Vitenbergs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21-TA-381</w:t>
    </w:r>
    <w:r>
      <w:br/>
    </w:r>
    <w:r w:rsidR="00000000" w:rsidRPr="00000000" w:rsidDel="00000000">
      <w:rPr>
        <w:rtl w:val="0"/>
      </w:rPr>
      <w:t xml:space="preserve">Izdrukāts 29.07.2026. 23.03 - 1.0.VK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21-TA-381</w:t>
    </w:r>
    <w:r>
      <w:br/>
    </w:r>
    <w:r w:rsidR="00000000" w:rsidRPr="00000000" w:rsidDel="00000000">
      <w:rPr>
        <w:rtl w:val="0"/>
      </w:rPr>
      <w:t xml:space="preserve">Izdrukāts 29.07.2026. 23.03 - 1.0.VK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noteikumu_(grozījumu)_projekts_21-TA-381.docx</dc:title>
</cp:coreProperties>
</file>

<file path=docProps/custom.xml><?xml version="1.0" encoding="utf-8"?>
<Properties xmlns="http://schemas.openxmlformats.org/officeDocument/2006/custom-properties" xmlns:vt="http://schemas.openxmlformats.org/officeDocument/2006/docPropsVTypes"/>
</file>