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17. jūnijā (prot. Nr. 24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janvāra noteikumos Nr. 17 "Pievienotās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40. panta astoto daļu, 45. panta sesto daļu, </w:t>
      </w:r>
      <w:r>
        <w:br/>
      </w:r>
      <w:r w:rsidR="00000000" w:rsidRPr="00000000" w:rsidDel="00000000">
        <w:rPr>
          <w:rStyle w:val="paragraph"/>
          <w:i w:val="1"/>
          <w:rtl w:val="0"/>
        </w:rPr>
        <w:t xml:space="preserve">46. panta otro daļu, 49. panta ceturto daļu, </w:t>
      </w:r>
      <w:r>
        <w:br/>
      </w:r>
      <w:r w:rsidR="00000000" w:rsidRPr="00000000" w:rsidDel="00000000">
        <w:rPr>
          <w:rStyle w:val="paragraph"/>
          <w:i w:val="1"/>
          <w:rtl w:val="0"/>
        </w:rPr>
        <w:t xml:space="preserve">51. panta otro daļu, 52. panta pirmās daļas </w:t>
      </w:r>
      <w:r>
        <w:br/>
      </w:r>
      <w:r w:rsidR="00000000" w:rsidRPr="00000000" w:rsidDel="00000000">
        <w:rPr>
          <w:rStyle w:val="paragraph"/>
          <w:i w:val="1"/>
          <w:rtl w:val="0"/>
        </w:rPr>
        <w:t xml:space="preserve">3. punkta "a" apakšpunktu, 52. panta ceturto daļu, </w:t>
      </w:r>
      <w:r>
        <w:br/>
      </w:r>
      <w:r w:rsidR="00000000" w:rsidRPr="00000000" w:rsidDel="00000000">
        <w:rPr>
          <w:rStyle w:val="paragraph"/>
          <w:i w:val="1"/>
          <w:rtl w:val="0"/>
        </w:rPr>
        <w:t xml:space="preserve">65. panta trešo daļu, 66. panta astoto daļu, </w:t>
      </w:r>
      <w:r>
        <w:br/>
      </w:r>
      <w:r w:rsidR="00000000" w:rsidRPr="00000000" w:rsidDel="00000000">
        <w:rPr>
          <w:rStyle w:val="paragraph"/>
          <w:i w:val="1"/>
          <w:rtl w:val="0"/>
        </w:rPr>
        <w:t xml:space="preserve">72. panta otro daļu, 85. panta astotās daļas </w:t>
      </w:r>
      <w:r>
        <w:br/>
      </w:r>
      <w:r w:rsidR="00000000" w:rsidRPr="00000000" w:rsidDel="00000000">
        <w:rPr>
          <w:rStyle w:val="paragraph"/>
          <w:i w:val="1"/>
          <w:rtl w:val="0"/>
        </w:rPr>
        <w:t xml:space="preserve">1. un 3. punktu, 107. pantu, 117. panta devīto daļu, </w:t>
      </w:r>
      <w:r>
        <w:br/>
      </w:r>
      <w:r w:rsidR="00000000" w:rsidRPr="00000000" w:rsidDel="00000000">
        <w:rPr>
          <w:rStyle w:val="paragraph"/>
          <w:i w:val="1"/>
          <w:rtl w:val="0"/>
        </w:rPr>
        <w:t xml:space="preserve">129. panta vienpadsmito daļu, 134. panta ceturto daļu, </w:t>
      </w:r>
      <w:r>
        <w:br/>
      </w:r>
      <w:r w:rsidR="00000000" w:rsidRPr="00000000" w:rsidDel="00000000">
        <w:rPr>
          <w:rStyle w:val="paragraph"/>
          <w:i w:val="1"/>
          <w:rtl w:val="0"/>
        </w:rPr>
        <w:t xml:space="preserve">138. panta divdesmit trešo daļu, </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piekto daļu un 144.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3. janvāra noteikumos Nr. 17 "Pievienotās vērtības nodokļa likuma normu piemērošanas kārtība un atsevišķas prasības pievienotās vērtības nodokļa maksāšanai un administrēšanai" (Latvijas Vēstnesis, 2013, 14., 107., 208., 250. nr.; 2014, 185. nr.; 2016, 29. nr.; 2017, 228. nr.; 2019, 133., 256. nr.; 2022, 56. nr.; 2024, 250.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Ar nodokli neapliek psihologa konsultāciju, ja tā sniegta likuma 52. panta pirmās daļas 9. punktā minētā pakalpojuma ietvaros un nodrošināta sadarbībā ar sociālo pakalpojumu sniedzēju reģistrā reģistrētu sociālo pakalpojumu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Lai likuma 139.</w:t>
      </w:r>
      <w:r w:rsidR="00000000" w:rsidRPr="00000000" w:rsidDel="00000000">
        <w:rPr>
          <w:vertAlign w:val="superscript"/>
          <w:rtl w:val="0"/>
        </w:rPr>
        <w:t xml:space="preserve">2</w:t>
      </w:r>
      <w:r w:rsidR="00000000" w:rsidRPr="00000000" w:rsidDel="00000000">
        <w:rPr>
          <w:rtl w:val="0"/>
        </w:rPr>
        <w:t xml:space="preserve"> pantā noteiktajā īpašajā reģistrācijas kārtībā reģistrēts nodokļa maksātājs tiktu reģistrēts Valsts ieņēmumu dienesta pievienotās vērtības nodokļa maksātāju reģistrā atbilstoši likuma 66. pantā noteiktajai vispārīgajai kārtībai, tas iesniedz Valsts ieņēmumu dienestā reģistrācijas iesniegumu saskaņā ar šo noteikumu 2. vai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Lai iekšzemes nodokļu maksātājs vai citas dalībvalsts nodokļa maksātājs tiktu reģistrēts Valsts ieņēmumu dienesta pievienotās vērtības nodokļa maksātāju reģistrā atbilstoši likuma 139.</w:t>
      </w:r>
      <w:r w:rsidR="00000000" w:rsidRPr="00000000" w:rsidDel="00000000">
        <w:rPr>
          <w:vertAlign w:val="superscript"/>
          <w:rtl w:val="0"/>
        </w:rPr>
        <w:t xml:space="preserve">2 </w:t>
      </w:r>
      <w:r w:rsidR="00000000" w:rsidRPr="00000000" w:rsidDel="00000000">
        <w:rPr>
          <w:rtl w:val="0"/>
        </w:rPr>
        <w:t xml:space="preserve">pantā noteiktajai īpašajai reģistrācijas kārtībai, tas iesniedz Valsts ieņēmumu dienestā reģistrācijas iesniegumu saskaņā ar šo noteikumu 3.</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Likuma 66. pantā noteiktajā vispārīgajā kārtībā reģistrēts nodokļa maksātājs ir tiesīgs atbilstoši likuma 93. pantam atskaitīt priekšnodokli no citiem reģistrētiem nodokļa maksātājiem saņemtajos nodokļa rēķinos norādītās nodokļa summas par tādām saņemtajām precēm un tādiem pakalpojumiem savu ar nodokli apliekamo darījumu nodrošināšanai, kurus tas iegādājies laikposmā, kad bija reģistrēts Valsts ieņēmumu dienesta pievienotās vērtības nodokļa maksātāju reģistrā likuma 139.</w:t>
      </w:r>
      <w:r w:rsidR="00000000" w:rsidRPr="00000000" w:rsidDel="00000000">
        <w:rPr>
          <w:vertAlign w:val="superscript"/>
          <w:rtl w:val="0"/>
        </w:rPr>
        <w:t xml:space="preserve">2 </w:t>
      </w:r>
      <w:r w:rsidR="00000000" w:rsidRPr="00000000" w:rsidDel="00000000">
        <w:rPr>
          <w:rtl w:val="0"/>
        </w:rPr>
        <w:t xml:space="preserve">pantā noteiktajā īpašajā reģistrācijas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"190. Tirgotājs, pārdodot preces, izsniedz attaisnojuma dokumentu (piemēram, kases čeku, nodokļa rēķinu). Ja preču pārdošanai piemēro nodokli saskaņā ar likuma 138. pantā noteikto īpašo nodokļa piemērošanas režīmu, attaisnojuma dokumentā norāda preces pārdošanas vērtību, kurā ietverts atbilstoši likuma 138. panta desmitajai vai vienpadsmitajai daļai aprēķinātais nodoklis. Nodokļa vērtību attaisnojuma dokumentā nenorāda.";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Darba dienas beigās vai pēc katra attaisnojuma dokumenta izsniegšanas tirgotājs aizpilda uzskaites reģistru.";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193.7.2.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"193.7.2. attaisnojuma dokumenta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193.8.2.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"193.8.2. attaisnojuma dokumenta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"194.2. attaisnojuma dokumenta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noteikumu_(grozījumu)_projekts_25-TA-87.docx</dc:title>
</cp:coreProperties>
</file>

<file path=docProps/custom.xml><?xml version="1.0" encoding="utf-8"?>
<Properties xmlns="http://schemas.openxmlformats.org/officeDocument/2006/custom-properties" xmlns:vt="http://schemas.openxmlformats.org/officeDocument/2006/docPropsVTypes"/>
</file>